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B20" w:rsidRPr="00550F3E" w:rsidRDefault="00332B20" w:rsidP="00FC4DF1">
      <w:pPr>
        <w:suppressAutoHyphens/>
        <w:spacing w:before="0" w:after="0"/>
      </w:pPr>
    </w:p>
    <w:p w:rsidR="00332B20" w:rsidRPr="00550F3E" w:rsidRDefault="00332B20" w:rsidP="00FC4DF1">
      <w:pPr>
        <w:suppressAutoHyphens/>
        <w:spacing w:before="0" w:after="0"/>
      </w:pPr>
    </w:p>
    <w:tbl>
      <w:tblPr>
        <w:tblW w:w="0" w:type="auto"/>
        <w:tblLook w:val="0000"/>
      </w:tblPr>
      <w:tblGrid>
        <w:gridCol w:w="8706"/>
      </w:tblGrid>
      <w:tr w:rsidR="00FE6116" w:rsidRPr="00AE6450" w:rsidTr="008634FA">
        <w:trPr>
          <w:cantSplit/>
          <w:trHeight w:val="287"/>
        </w:trPr>
        <w:tc>
          <w:tcPr>
            <w:tcW w:w="8706" w:type="dxa"/>
            <w:tcBorders>
              <w:bottom w:val="single" w:sz="36" w:space="0" w:color="auto"/>
            </w:tcBorders>
          </w:tcPr>
          <w:p w:rsidR="00FE6116" w:rsidRPr="00AE6450" w:rsidRDefault="00FE6116" w:rsidP="008634FA">
            <w:pPr>
              <w:pStyle w:val="Header"/>
              <w:tabs>
                <w:tab w:val="clear" w:pos="4320"/>
              </w:tabs>
              <w:suppressAutoHyphens/>
              <w:rPr>
                <w:rFonts w:asciiTheme="minorBidi" w:hAnsiTheme="minorBidi" w:cstheme="minorBidi"/>
              </w:rPr>
            </w:pPr>
          </w:p>
        </w:tc>
      </w:tr>
      <w:tr w:rsidR="00FE6116" w:rsidRPr="00AE6450" w:rsidTr="008634FA">
        <w:trPr>
          <w:cantSplit/>
          <w:trHeight w:val="1127"/>
        </w:trPr>
        <w:tc>
          <w:tcPr>
            <w:tcW w:w="8706" w:type="dxa"/>
            <w:tcBorders>
              <w:top w:val="single" w:sz="36" w:space="0" w:color="auto"/>
              <w:bottom w:val="single" w:sz="36" w:space="0" w:color="auto"/>
            </w:tcBorders>
          </w:tcPr>
          <w:p w:rsidR="00FE6116" w:rsidRPr="00AE6450" w:rsidRDefault="00FE6116" w:rsidP="008634FA">
            <w:pPr>
              <w:pStyle w:val="Header"/>
              <w:tabs>
                <w:tab w:val="clear" w:pos="4320"/>
              </w:tabs>
              <w:suppressAutoHyphens/>
              <w:jc w:val="center"/>
              <w:rPr>
                <w:rFonts w:asciiTheme="minorBidi" w:hAnsiTheme="minorBidi" w:cstheme="minorBidi"/>
                <w:b/>
              </w:rPr>
            </w:pPr>
          </w:p>
          <w:p w:rsidR="00FE6116" w:rsidRPr="00213ECD" w:rsidRDefault="00FE6116" w:rsidP="008634FA">
            <w:pPr>
              <w:suppressAutoHyphens/>
              <w:spacing w:before="0" w:after="0"/>
              <w:jc w:val="center"/>
              <w:rPr>
                <w:sz w:val="40"/>
                <w:szCs w:val="40"/>
              </w:rPr>
            </w:pPr>
            <w:r w:rsidRPr="00213ECD">
              <w:rPr>
                <w:b/>
                <w:bCs/>
                <w:sz w:val="40"/>
                <w:szCs w:val="40"/>
              </w:rPr>
              <w:t>Regulatory Policy</w:t>
            </w:r>
          </w:p>
          <w:p w:rsidR="00FE6116" w:rsidRPr="00AE6450" w:rsidRDefault="00FE6116" w:rsidP="008634FA">
            <w:pPr>
              <w:pStyle w:val="Header"/>
              <w:tabs>
                <w:tab w:val="clear" w:pos="4320"/>
              </w:tabs>
              <w:suppressAutoHyphens/>
              <w:jc w:val="center"/>
              <w:rPr>
                <w:rFonts w:asciiTheme="minorBidi" w:hAnsiTheme="minorBidi" w:cstheme="minorBidi"/>
                <w:b/>
                <w:sz w:val="44"/>
                <w:szCs w:val="44"/>
              </w:rPr>
            </w:pPr>
          </w:p>
        </w:tc>
      </w:tr>
      <w:tr w:rsidR="00FE6116" w:rsidRPr="00AE6450" w:rsidTr="008634FA">
        <w:trPr>
          <w:cantSplit/>
          <w:trHeight w:val="1573"/>
        </w:trPr>
        <w:tc>
          <w:tcPr>
            <w:tcW w:w="8706" w:type="dxa"/>
            <w:tcBorders>
              <w:top w:val="single" w:sz="36" w:space="0" w:color="auto"/>
            </w:tcBorders>
          </w:tcPr>
          <w:p w:rsidR="00FE6116" w:rsidRPr="00AE6450" w:rsidRDefault="00FE6116" w:rsidP="008634FA">
            <w:pPr>
              <w:pStyle w:val="Header"/>
              <w:tabs>
                <w:tab w:val="clear" w:pos="4320"/>
              </w:tabs>
              <w:suppressAutoHyphens/>
              <w:rPr>
                <w:rFonts w:asciiTheme="minorBidi" w:hAnsiTheme="minorBidi" w:cstheme="minorBidi"/>
                <w:b/>
                <w:bCs/>
              </w:rPr>
            </w:pPr>
          </w:p>
          <w:p w:rsidR="00FE6116" w:rsidRPr="00AE6450" w:rsidRDefault="00FE6116" w:rsidP="008634FA">
            <w:pPr>
              <w:pStyle w:val="Header"/>
              <w:tabs>
                <w:tab w:val="clear" w:pos="4320"/>
              </w:tabs>
              <w:suppressAutoHyphens/>
              <w:rPr>
                <w:rFonts w:asciiTheme="minorBidi" w:hAnsiTheme="minorBidi" w:cstheme="minorBidi"/>
                <w:b/>
                <w:bCs/>
              </w:rPr>
            </w:pPr>
          </w:p>
          <w:p w:rsidR="00FE6116" w:rsidRPr="00550F3E" w:rsidRDefault="00FE6116" w:rsidP="008634FA">
            <w:pPr>
              <w:suppressAutoHyphens/>
              <w:spacing w:before="0" w:after="0"/>
              <w:jc w:val="center"/>
            </w:pPr>
            <w:r>
              <w:rPr>
                <w:b/>
                <w:sz w:val="40"/>
              </w:rPr>
              <w:t>Competition Safeguards</w:t>
            </w:r>
          </w:p>
          <w:p w:rsidR="00FE6116" w:rsidRPr="00550F3E" w:rsidRDefault="00FE6116" w:rsidP="008634FA">
            <w:pPr>
              <w:suppressAutoHyphens/>
              <w:spacing w:before="0" w:after="0"/>
            </w:pPr>
          </w:p>
          <w:p w:rsidR="00FE6116" w:rsidRPr="00550F3E" w:rsidRDefault="00FE6116" w:rsidP="008634FA">
            <w:pPr>
              <w:suppressAutoHyphens/>
              <w:spacing w:before="0" w:after="0"/>
            </w:pPr>
          </w:p>
          <w:p w:rsidR="00FE6116" w:rsidRPr="00550F3E" w:rsidRDefault="00FE6116" w:rsidP="008634FA">
            <w:pPr>
              <w:suppressAutoHyphens/>
              <w:spacing w:before="0" w:after="0"/>
              <w:jc w:val="center"/>
              <w:rPr>
                <w:b/>
                <w:bCs/>
                <w:sz w:val="32"/>
                <w:szCs w:val="32"/>
              </w:rPr>
            </w:pPr>
            <w:r w:rsidRPr="00094F2C">
              <w:rPr>
                <w:b/>
                <w:bCs/>
                <w:sz w:val="32"/>
                <w:szCs w:val="32"/>
              </w:rPr>
              <w:t>Version 1.</w:t>
            </w:r>
            <w:r>
              <w:rPr>
                <w:b/>
                <w:bCs/>
                <w:sz w:val="32"/>
                <w:szCs w:val="32"/>
              </w:rPr>
              <w:t>1</w:t>
            </w:r>
          </w:p>
          <w:p w:rsidR="00FE6116" w:rsidRPr="00550F3E" w:rsidRDefault="00FE6116" w:rsidP="008634FA">
            <w:pPr>
              <w:suppressAutoHyphens/>
              <w:spacing w:before="0" w:after="0"/>
            </w:pPr>
          </w:p>
          <w:p w:rsidR="00FE6116" w:rsidRPr="00550F3E" w:rsidRDefault="00FE6116" w:rsidP="008634FA">
            <w:pPr>
              <w:suppressAutoHyphens/>
              <w:spacing w:before="0" w:after="0"/>
            </w:pPr>
          </w:p>
          <w:p w:rsidR="00FE6116" w:rsidRPr="00AE6450" w:rsidRDefault="00FE6116" w:rsidP="008634FA">
            <w:pPr>
              <w:suppressAutoHyphens/>
              <w:jc w:val="center"/>
              <w:rPr>
                <w:rFonts w:asciiTheme="minorBidi" w:hAnsiTheme="minorBidi" w:cstheme="minorBidi"/>
                <w:b/>
                <w:sz w:val="40"/>
                <w:szCs w:val="40"/>
              </w:rPr>
            </w:pPr>
            <w:r>
              <w:rPr>
                <w:b/>
                <w:bCs/>
              </w:rPr>
              <w:t>30 September 2010</w:t>
            </w:r>
          </w:p>
        </w:tc>
      </w:tr>
      <w:tr w:rsidR="00FE6116" w:rsidRPr="00AE6450" w:rsidTr="008634FA">
        <w:trPr>
          <w:cantSplit/>
          <w:trHeight w:val="429"/>
        </w:trPr>
        <w:tc>
          <w:tcPr>
            <w:tcW w:w="8706" w:type="dxa"/>
          </w:tcPr>
          <w:p w:rsidR="00FE6116" w:rsidRPr="00BB5D8F" w:rsidRDefault="00FE6116" w:rsidP="008634FA">
            <w:pPr>
              <w:pStyle w:val="Header"/>
              <w:tabs>
                <w:tab w:val="clear" w:pos="4320"/>
              </w:tabs>
              <w:suppressAutoHyphens/>
              <w:jc w:val="center"/>
              <w:rPr>
                <w:rFonts w:asciiTheme="minorBidi" w:hAnsiTheme="minorBidi" w:cstheme="minorBidi"/>
                <w:b/>
                <w:bCs/>
                <w:sz w:val="28"/>
                <w:szCs w:val="28"/>
              </w:rPr>
            </w:pPr>
          </w:p>
        </w:tc>
      </w:tr>
      <w:tr w:rsidR="00FE6116" w:rsidRPr="00AE6450" w:rsidTr="008634FA">
        <w:trPr>
          <w:cantSplit/>
          <w:trHeight w:val="1127"/>
        </w:trPr>
        <w:tc>
          <w:tcPr>
            <w:tcW w:w="8706" w:type="dxa"/>
            <w:tcBorders>
              <w:bottom w:val="single" w:sz="36" w:space="0" w:color="auto"/>
            </w:tcBorders>
          </w:tcPr>
          <w:p w:rsidR="00FE6116" w:rsidRPr="00AE6450" w:rsidRDefault="00FE6116" w:rsidP="008634FA">
            <w:pPr>
              <w:suppressAutoHyphens/>
              <w:rPr>
                <w:rFonts w:asciiTheme="minorBidi" w:hAnsiTheme="minorBidi" w:cstheme="minorBidi"/>
                <w:b/>
                <w:bCs/>
              </w:rPr>
            </w:pPr>
          </w:p>
        </w:tc>
      </w:tr>
    </w:tbl>
    <w:p w:rsidR="00332B20" w:rsidRPr="00550F3E" w:rsidRDefault="00332B20" w:rsidP="00FC4DF1">
      <w:pPr>
        <w:suppressAutoHyphens/>
        <w:spacing w:before="0" w:after="0"/>
      </w:pPr>
    </w:p>
    <w:p w:rsidR="00332B20" w:rsidRPr="00550F3E" w:rsidRDefault="00332B20" w:rsidP="00292ABB">
      <w:pPr>
        <w:suppressAutoHyphens/>
        <w:spacing w:before="0" w:after="0"/>
        <w:jc w:val="center"/>
        <w:rPr>
          <w:b/>
          <w:bCs/>
        </w:rPr>
      </w:pPr>
    </w:p>
    <w:p w:rsidR="00823FD0" w:rsidRPr="00550F3E" w:rsidRDefault="00823FD0" w:rsidP="00FC4DF1">
      <w:pPr>
        <w:suppressAutoHyphens/>
        <w:spacing w:before="0" w:after="0"/>
      </w:pPr>
    </w:p>
    <w:p w:rsidR="00332B20" w:rsidRPr="00550F3E" w:rsidRDefault="00332B20" w:rsidP="00FC4DF1">
      <w:pPr>
        <w:suppressAutoHyphens/>
        <w:spacing w:before="0" w:after="0"/>
      </w:pPr>
    </w:p>
    <w:p w:rsidR="00823FD0" w:rsidRPr="00656990" w:rsidRDefault="00823FD0" w:rsidP="00823FD0">
      <w:pPr>
        <w:pBdr>
          <w:top w:val="single" w:sz="18" w:space="1" w:color="auto"/>
        </w:pBdr>
        <w:suppressAutoHyphens/>
        <w:jc w:val="center"/>
        <w:rPr>
          <w:sz w:val="18"/>
          <w:szCs w:val="18"/>
        </w:rPr>
      </w:pPr>
    </w:p>
    <w:p w:rsidR="00823FD0" w:rsidRPr="00656990" w:rsidRDefault="00823FD0" w:rsidP="00823FD0">
      <w:pPr>
        <w:suppressAutoHyphens/>
        <w:jc w:val="center"/>
        <w:rPr>
          <w:sz w:val="18"/>
          <w:szCs w:val="18"/>
        </w:rPr>
      </w:pPr>
      <w:r w:rsidRPr="00656990">
        <w:rPr>
          <w:sz w:val="18"/>
          <w:szCs w:val="18"/>
        </w:rPr>
        <w:t>Telecommunications Regulatory Autho</w:t>
      </w:r>
      <w:r>
        <w:rPr>
          <w:sz w:val="18"/>
          <w:szCs w:val="18"/>
        </w:rPr>
        <w:t>rity (TRA</w:t>
      </w:r>
      <w:proofErr w:type="gramStart"/>
      <w:r>
        <w:rPr>
          <w:sz w:val="18"/>
          <w:szCs w:val="18"/>
        </w:rPr>
        <w:t>)</w:t>
      </w:r>
      <w:proofErr w:type="gramEnd"/>
      <w:r w:rsidRPr="00656990">
        <w:rPr>
          <w:sz w:val="18"/>
          <w:szCs w:val="18"/>
        </w:rPr>
        <w:br/>
        <w:t>P O Box 26662, Abu Dhabi, United Arab Emirates (UAE</w:t>
      </w:r>
      <w:r>
        <w:rPr>
          <w:sz w:val="18"/>
          <w:szCs w:val="18"/>
        </w:rPr>
        <w:t>)</w:t>
      </w:r>
      <w:r w:rsidRPr="00656990">
        <w:rPr>
          <w:sz w:val="18"/>
          <w:szCs w:val="18"/>
        </w:rPr>
        <w:br/>
      </w:r>
      <w:hyperlink r:id="rId8" w:history="1">
        <w:r w:rsidRPr="0071094C">
          <w:rPr>
            <w:rStyle w:val="Hyperlink"/>
            <w:sz w:val="18"/>
            <w:szCs w:val="18"/>
          </w:rPr>
          <w:t>www.tra.gov.ae</w:t>
        </w:r>
      </w:hyperlink>
      <w:hyperlink r:id="rId9" w:history="1">
        <w:r w:rsidRPr="00656990">
          <w:rPr>
            <w:rStyle w:val="Hyperlink"/>
            <w:sz w:val="18"/>
            <w:szCs w:val="18"/>
          </w:rPr>
          <w:t>www.tra.ae</w:t>
        </w:r>
      </w:hyperlink>
    </w:p>
    <w:p w:rsidR="00823FD0" w:rsidRDefault="00823FD0" w:rsidP="00823FD0">
      <w:pPr>
        <w:pStyle w:val="Footer"/>
        <w:pBdr>
          <w:bottom w:val="single" w:sz="18" w:space="1" w:color="auto"/>
        </w:pBdr>
        <w:tabs>
          <w:tab w:val="clear" w:pos="4320"/>
          <w:tab w:val="clear" w:pos="8640"/>
          <w:tab w:val="right" w:pos="9180"/>
        </w:tabs>
        <w:rPr>
          <w:sz w:val="20"/>
          <w:szCs w:val="20"/>
        </w:rPr>
      </w:pPr>
    </w:p>
    <w:p w:rsidR="00823FD0" w:rsidRDefault="00823FD0" w:rsidP="00823FD0">
      <w:pPr>
        <w:pStyle w:val="Footer"/>
        <w:tabs>
          <w:tab w:val="clear" w:pos="4320"/>
          <w:tab w:val="clear" w:pos="8640"/>
          <w:tab w:val="right" w:pos="9180"/>
        </w:tabs>
        <w:spacing w:before="0" w:after="0"/>
        <w:rPr>
          <w:sz w:val="20"/>
          <w:szCs w:val="20"/>
        </w:rPr>
      </w:pPr>
    </w:p>
    <w:p w:rsidR="00823FD0" w:rsidRDefault="00094F2C" w:rsidP="00FC4DF1">
      <w:pPr>
        <w:suppressAutoHyphens/>
        <w:spacing w:before="0" w:after="0"/>
      </w:pPr>
      <w:r>
        <w:rPr>
          <w:highlight w:val="yellow"/>
        </w:rPr>
        <w:br w:type="page"/>
      </w:r>
    </w:p>
    <w:p w:rsidR="00823FD0" w:rsidRDefault="00823FD0" w:rsidP="00FC4DF1">
      <w:pPr>
        <w:suppressAutoHyphens/>
        <w:spacing w:before="0" w:after="0"/>
      </w:pPr>
    </w:p>
    <w:p w:rsidR="00823FD0" w:rsidRDefault="00823FD0" w:rsidP="00FC4DF1">
      <w:pPr>
        <w:suppressAutoHyphens/>
        <w:spacing w:before="0" w:after="0"/>
      </w:pPr>
    </w:p>
    <w:p w:rsidR="00875CB0" w:rsidRPr="00550F3E" w:rsidRDefault="00AA6921" w:rsidP="00FC4DF1">
      <w:pPr>
        <w:suppressAutoHyphens/>
        <w:spacing w:before="0" w:after="0"/>
        <w:rPr>
          <w:b/>
          <w:bCs/>
        </w:rPr>
      </w:pPr>
      <w:r>
        <w:rPr>
          <w:b/>
          <w:bCs/>
        </w:rPr>
        <w:t>Version</w:t>
      </w:r>
      <w:r w:rsidR="00094F2C">
        <w:rPr>
          <w:b/>
          <w:bCs/>
        </w:rPr>
        <w:t xml:space="preserve"> Control:</w:t>
      </w:r>
    </w:p>
    <w:tbl>
      <w:tblPr>
        <w:tblpPr w:leftFromText="180" w:rightFromText="180" w:vertAnchor="text" w:tblpY="279"/>
        <w:tblW w:w="0" w:type="auto"/>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1350"/>
        <w:gridCol w:w="2869"/>
        <w:gridCol w:w="4784"/>
      </w:tblGrid>
      <w:tr w:rsidR="0081090F" w:rsidRPr="00550F3E" w:rsidTr="006E58F3">
        <w:trPr>
          <w:tblCellSpacing w:w="1440" w:type="nil"/>
        </w:trPr>
        <w:tc>
          <w:tcPr>
            <w:tcW w:w="1350" w:type="dxa"/>
          </w:tcPr>
          <w:p w:rsidR="00875CB0" w:rsidRPr="00550F3E" w:rsidRDefault="00094F2C" w:rsidP="00505CB8">
            <w:pPr>
              <w:suppressAutoHyphens/>
              <w:spacing w:before="0" w:after="0"/>
              <w:jc w:val="center"/>
              <w:rPr>
                <w:b/>
                <w:bCs/>
              </w:rPr>
            </w:pPr>
            <w:r>
              <w:rPr>
                <w:b/>
                <w:bCs/>
              </w:rPr>
              <w:t>Version:</w:t>
            </w:r>
          </w:p>
        </w:tc>
        <w:tc>
          <w:tcPr>
            <w:tcW w:w="2869" w:type="dxa"/>
          </w:tcPr>
          <w:p w:rsidR="00875CB0" w:rsidRPr="00550F3E" w:rsidRDefault="00094F2C" w:rsidP="00505CB8">
            <w:pPr>
              <w:suppressAutoHyphens/>
              <w:spacing w:before="0" w:after="0"/>
              <w:jc w:val="center"/>
              <w:rPr>
                <w:b/>
                <w:bCs/>
              </w:rPr>
            </w:pPr>
            <w:r>
              <w:rPr>
                <w:b/>
                <w:bCs/>
              </w:rPr>
              <w:t>Issue Date:</w:t>
            </w:r>
          </w:p>
        </w:tc>
        <w:tc>
          <w:tcPr>
            <w:tcW w:w="4784" w:type="dxa"/>
          </w:tcPr>
          <w:p w:rsidR="00875CB0" w:rsidRPr="00550F3E" w:rsidRDefault="00094F2C" w:rsidP="00421407">
            <w:pPr>
              <w:suppressAutoHyphens/>
              <w:spacing w:before="0" w:after="0"/>
              <w:jc w:val="center"/>
              <w:rPr>
                <w:b/>
                <w:bCs/>
              </w:rPr>
            </w:pPr>
            <w:r>
              <w:rPr>
                <w:b/>
                <w:bCs/>
              </w:rPr>
              <w:t xml:space="preserve">Reason for </w:t>
            </w:r>
            <w:r w:rsidR="00421407">
              <w:rPr>
                <w:b/>
                <w:bCs/>
              </w:rPr>
              <w:t>Issue</w:t>
            </w:r>
            <w:r>
              <w:rPr>
                <w:b/>
                <w:bCs/>
              </w:rPr>
              <w:t>:</w:t>
            </w:r>
          </w:p>
        </w:tc>
      </w:tr>
      <w:tr w:rsidR="00292ABB" w:rsidRPr="00550F3E" w:rsidTr="007C15A2">
        <w:trPr>
          <w:tblCellSpacing w:w="1440" w:type="nil"/>
        </w:trPr>
        <w:tc>
          <w:tcPr>
            <w:tcW w:w="1350" w:type="dxa"/>
            <w:vAlign w:val="center"/>
          </w:tcPr>
          <w:p w:rsidR="00292ABB" w:rsidRPr="00542BF4" w:rsidRDefault="00292ABB" w:rsidP="00292ABB">
            <w:pPr>
              <w:jc w:val="center"/>
            </w:pPr>
            <w:r>
              <w:t>1.1</w:t>
            </w:r>
          </w:p>
        </w:tc>
        <w:tc>
          <w:tcPr>
            <w:tcW w:w="2869" w:type="dxa"/>
            <w:vAlign w:val="center"/>
          </w:tcPr>
          <w:p w:rsidR="00292ABB" w:rsidRPr="00550F3E" w:rsidRDefault="002628A8" w:rsidP="00292ABB">
            <w:pPr>
              <w:suppressAutoHyphens/>
              <w:spacing w:before="0" w:after="0"/>
              <w:jc w:val="center"/>
            </w:pPr>
            <w:r>
              <w:t>30</w:t>
            </w:r>
            <w:r w:rsidR="00292ABB">
              <w:t xml:space="preserve"> September 2010</w:t>
            </w:r>
          </w:p>
        </w:tc>
        <w:tc>
          <w:tcPr>
            <w:tcW w:w="4784" w:type="dxa"/>
            <w:vAlign w:val="center"/>
          </w:tcPr>
          <w:p w:rsidR="00497E63" w:rsidRDefault="00292ABB">
            <w:pPr>
              <w:suppressAutoHyphens/>
              <w:spacing w:before="0" w:after="0"/>
              <w:jc w:val="center"/>
            </w:pPr>
            <w:r>
              <w:t>Update of some definitions</w:t>
            </w:r>
          </w:p>
        </w:tc>
      </w:tr>
      <w:tr w:rsidR="00292ABB" w:rsidRPr="00550F3E" w:rsidTr="00027D59">
        <w:trPr>
          <w:tblCellSpacing w:w="1440" w:type="nil"/>
        </w:trPr>
        <w:tc>
          <w:tcPr>
            <w:tcW w:w="1350" w:type="dxa"/>
            <w:vAlign w:val="center"/>
          </w:tcPr>
          <w:p w:rsidR="006977D7" w:rsidRDefault="00292ABB">
            <w:pPr>
              <w:jc w:val="center"/>
            </w:pPr>
            <w:r>
              <w:t>1.0</w:t>
            </w:r>
          </w:p>
        </w:tc>
        <w:tc>
          <w:tcPr>
            <w:tcW w:w="2869" w:type="dxa"/>
            <w:vAlign w:val="center"/>
          </w:tcPr>
          <w:p w:rsidR="006977D7" w:rsidRDefault="00292ABB">
            <w:pPr>
              <w:jc w:val="center"/>
            </w:pPr>
            <w:r>
              <w:t>30 December 2009</w:t>
            </w:r>
          </w:p>
        </w:tc>
        <w:tc>
          <w:tcPr>
            <w:tcW w:w="4784" w:type="dxa"/>
            <w:vAlign w:val="center"/>
          </w:tcPr>
          <w:p w:rsidR="006977D7" w:rsidRDefault="00292ABB">
            <w:pPr>
              <w:jc w:val="center"/>
              <w:rPr>
                <w:b/>
                <w:bCs/>
                <w:noProof/>
              </w:rPr>
            </w:pPr>
            <w:r>
              <w:t>Initial Issuance</w:t>
            </w:r>
          </w:p>
        </w:tc>
      </w:tr>
      <w:tr w:rsidR="00292ABB" w:rsidRPr="00550F3E" w:rsidTr="006E58F3">
        <w:trPr>
          <w:tblCellSpacing w:w="1440" w:type="nil"/>
        </w:trPr>
        <w:tc>
          <w:tcPr>
            <w:tcW w:w="1350" w:type="dxa"/>
          </w:tcPr>
          <w:p w:rsidR="00292ABB" w:rsidRPr="001755C9" w:rsidRDefault="00292ABB" w:rsidP="00292ABB"/>
        </w:tc>
        <w:tc>
          <w:tcPr>
            <w:tcW w:w="2869" w:type="dxa"/>
          </w:tcPr>
          <w:p w:rsidR="00292ABB" w:rsidRPr="001755C9" w:rsidRDefault="00292ABB" w:rsidP="00292ABB"/>
        </w:tc>
        <w:tc>
          <w:tcPr>
            <w:tcW w:w="4784" w:type="dxa"/>
          </w:tcPr>
          <w:p w:rsidR="00292ABB" w:rsidRPr="001755C9" w:rsidRDefault="00292ABB" w:rsidP="00292ABB"/>
        </w:tc>
      </w:tr>
      <w:tr w:rsidR="00292ABB" w:rsidRPr="00550F3E" w:rsidTr="006E58F3">
        <w:trPr>
          <w:tblCellSpacing w:w="1440" w:type="nil"/>
        </w:trPr>
        <w:tc>
          <w:tcPr>
            <w:tcW w:w="1350" w:type="dxa"/>
          </w:tcPr>
          <w:p w:rsidR="00292ABB" w:rsidRPr="001755C9" w:rsidRDefault="00292ABB" w:rsidP="00292ABB"/>
        </w:tc>
        <w:tc>
          <w:tcPr>
            <w:tcW w:w="2869" w:type="dxa"/>
          </w:tcPr>
          <w:p w:rsidR="00292ABB" w:rsidRPr="001755C9" w:rsidRDefault="00292ABB" w:rsidP="00292ABB"/>
        </w:tc>
        <w:tc>
          <w:tcPr>
            <w:tcW w:w="4784" w:type="dxa"/>
          </w:tcPr>
          <w:p w:rsidR="00292ABB" w:rsidRPr="001755C9" w:rsidRDefault="00292ABB" w:rsidP="00292ABB"/>
        </w:tc>
      </w:tr>
      <w:tr w:rsidR="00292ABB" w:rsidRPr="00550F3E" w:rsidTr="006E58F3">
        <w:trPr>
          <w:tblCellSpacing w:w="1440" w:type="nil"/>
        </w:trPr>
        <w:tc>
          <w:tcPr>
            <w:tcW w:w="1350" w:type="dxa"/>
          </w:tcPr>
          <w:p w:rsidR="00292ABB" w:rsidRPr="001755C9" w:rsidRDefault="00292ABB" w:rsidP="00292ABB"/>
        </w:tc>
        <w:tc>
          <w:tcPr>
            <w:tcW w:w="2869" w:type="dxa"/>
          </w:tcPr>
          <w:p w:rsidR="00292ABB" w:rsidRPr="001755C9" w:rsidRDefault="00292ABB" w:rsidP="00292ABB"/>
        </w:tc>
        <w:tc>
          <w:tcPr>
            <w:tcW w:w="4784" w:type="dxa"/>
          </w:tcPr>
          <w:p w:rsidR="00292ABB" w:rsidRPr="001755C9" w:rsidRDefault="00292ABB" w:rsidP="00292ABB"/>
        </w:tc>
      </w:tr>
      <w:tr w:rsidR="00292ABB" w:rsidRPr="00550F3E" w:rsidTr="006E58F3">
        <w:trPr>
          <w:tblCellSpacing w:w="1440" w:type="nil"/>
        </w:trPr>
        <w:tc>
          <w:tcPr>
            <w:tcW w:w="1350" w:type="dxa"/>
          </w:tcPr>
          <w:p w:rsidR="00292ABB" w:rsidRPr="001755C9" w:rsidRDefault="00292ABB" w:rsidP="00292ABB"/>
        </w:tc>
        <w:tc>
          <w:tcPr>
            <w:tcW w:w="2869" w:type="dxa"/>
          </w:tcPr>
          <w:p w:rsidR="00292ABB" w:rsidRPr="001755C9" w:rsidRDefault="00292ABB" w:rsidP="00292ABB"/>
        </w:tc>
        <w:tc>
          <w:tcPr>
            <w:tcW w:w="4784" w:type="dxa"/>
          </w:tcPr>
          <w:p w:rsidR="00292ABB" w:rsidRPr="001755C9" w:rsidRDefault="00292ABB" w:rsidP="00292ABB"/>
        </w:tc>
      </w:tr>
    </w:tbl>
    <w:p w:rsidR="00875CB0" w:rsidRPr="00550F3E" w:rsidRDefault="00875CB0" w:rsidP="00FC4DF1">
      <w:pPr>
        <w:suppressAutoHyphens/>
        <w:spacing w:before="0" w:after="0"/>
        <w:rPr>
          <w:b/>
        </w:rPr>
      </w:pPr>
    </w:p>
    <w:p w:rsidR="00875CB0" w:rsidRPr="00550F3E" w:rsidRDefault="00875CB0" w:rsidP="00FC4DF1">
      <w:pPr>
        <w:suppressAutoHyphens/>
        <w:spacing w:before="0" w:after="0"/>
        <w:rPr>
          <w:b/>
        </w:rPr>
      </w:pPr>
    </w:p>
    <w:p w:rsidR="00FE6116" w:rsidRDefault="00094F2C" w:rsidP="00FC4DF1">
      <w:pPr>
        <w:suppressAutoHyphens/>
        <w:jc w:val="center"/>
        <w:rPr>
          <w:b/>
        </w:rPr>
      </w:pPr>
      <w:r>
        <w:rPr>
          <w:b/>
          <w:highlight w:val="yellow"/>
        </w:rPr>
        <w:br w:type="page"/>
      </w:r>
    </w:p>
    <w:p w:rsidR="00FE6116" w:rsidRDefault="00FE6116" w:rsidP="00FC4DF1">
      <w:pPr>
        <w:suppressAutoHyphens/>
        <w:jc w:val="center"/>
        <w:rPr>
          <w:b/>
        </w:rPr>
      </w:pPr>
    </w:p>
    <w:p w:rsidR="00FE6116" w:rsidRDefault="00FE6116" w:rsidP="00FC4DF1">
      <w:pPr>
        <w:suppressAutoHyphens/>
        <w:jc w:val="center"/>
        <w:rPr>
          <w:b/>
        </w:rPr>
      </w:pPr>
    </w:p>
    <w:p w:rsidR="00FE6116" w:rsidRDefault="00FE6116" w:rsidP="00FC4DF1">
      <w:pPr>
        <w:suppressAutoHyphens/>
        <w:jc w:val="center"/>
        <w:rPr>
          <w:b/>
        </w:rPr>
      </w:pPr>
    </w:p>
    <w:p w:rsidR="00875CB0" w:rsidRPr="00550F3E" w:rsidRDefault="00094F2C" w:rsidP="00FC4DF1">
      <w:pPr>
        <w:suppressAutoHyphens/>
        <w:jc w:val="center"/>
        <w:rPr>
          <w:b/>
        </w:rPr>
      </w:pPr>
      <w:r>
        <w:rPr>
          <w:b/>
        </w:rPr>
        <w:t>TABLE OF CONTENTS</w:t>
      </w:r>
    </w:p>
    <w:p w:rsidR="00505CB8" w:rsidRDefault="006977D7">
      <w:pPr>
        <w:pStyle w:val="TOC1"/>
        <w:rPr>
          <w:rFonts w:asciiTheme="minorHAnsi" w:eastAsiaTheme="minorEastAsia" w:hAnsiTheme="minorHAnsi" w:cstheme="minorBidi"/>
          <w:b w:val="0"/>
          <w:bCs w:val="0"/>
          <w:sz w:val="22"/>
          <w:szCs w:val="22"/>
          <w:lang w:val="en-US"/>
        </w:rPr>
      </w:pPr>
      <w:r w:rsidRPr="006977D7">
        <w:rPr>
          <w:b w:val="0"/>
          <w:bCs w:val="0"/>
          <w:noProof w:val="0"/>
        </w:rPr>
        <w:fldChar w:fldCharType="begin"/>
      </w:r>
      <w:r w:rsidR="00094F2C" w:rsidRPr="00094F2C">
        <w:rPr>
          <w:b w:val="0"/>
          <w:bCs w:val="0"/>
          <w:noProof w:val="0"/>
        </w:rPr>
        <w:instrText xml:space="preserve"> TOC \t "Heading 1,1,Header 1.,1,Style2,1,Style3,1,Style4,1,Heading-1,1" </w:instrText>
      </w:r>
      <w:r w:rsidRPr="006977D7">
        <w:rPr>
          <w:b w:val="0"/>
          <w:bCs w:val="0"/>
          <w:noProof w:val="0"/>
        </w:rPr>
        <w:fldChar w:fldCharType="separate"/>
      </w:r>
      <w:r w:rsidR="00505CB8" w:rsidRPr="00A43B59">
        <w:t>1.</w:t>
      </w:r>
      <w:r w:rsidR="00505CB8">
        <w:rPr>
          <w:rFonts w:asciiTheme="minorHAnsi" w:eastAsiaTheme="minorEastAsia" w:hAnsiTheme="minorHAnsi" w:cstheme="minorBidi"/>
          <w:b w:val="0"/>
          <w:bCs w:val="0"/>
          <w:sz w:val="22"/>
          <w:szCs w:val="22"/>
          <w:lang w:val="en-US"/>
        </w:rPr>
        <w:tab/>
      </w:r>
      <w:r w:rsidR="00505CB8" w:rsidRPr="00A43B59">
        <w:t>Legal Reference</w:t>
      </w:r>
      <w:r w:rsidR="00505CB8">
        <w:tab/>
      </w:r>
      <w:r>
        <w:fldChar w:fldCharType="begin"/>
      </w:r>
      <w:r w:rsidR="00505CB8">
        <w:instrText xml:space="preserve"> PAGEREF _Toc250012696 \h </w:instrText>
      </w:r>
      <w:r>
        <w:fldChar w:fldCharType="separate"/>
      </w:r>
      <w:r w:rsidR="00FE6116">
        <w:t>4</w:t>
      </w:r>
      <w:r>
        <w:fldChar w:fldCharType="end"/>
      </w:r>
    </w:p>
    <w:p w:rsidR="00505CB8" w:rsidRDefault="00505CB8">
      <w:pPr>
        <w:pStyle w:val="TOC1"/>
        <w:rPr>
          <w:rFonts w:asciiTheme="minorHAnsi" w:eastAsiaTheme="minorEastAsia" w:hAnsiTheme="minorHAnsi" w:cstheme="minorBidi"/>
          <w:b w:val="0"/>
          <w:bCs w:val="0"/>
          <w:sz w:val="22"/>
          <w:szCs w:val="22"/>
          <w:lang w:val="en-US"/>
        </w:rPr>
      </w:pPr>
      <w:r w:rsidRPr="00A43B59">
        <w:t>2.</w:t>
      </w:r>
      <w:r>
        <w:rPr>
          <w:rFonts w:asciiTheme="minorHAnsi" w:eastAsiaTheme="minorEastAsia" w:hAnsiTheme="minorHAnsi" w:cstheme="minorBidi"/>
          <w:b w:val="0"/>
          <w:bCs w:val="0"/>
          <w:sz w:val="22"/>
          <w:szCs w:val="22"/>
          <w:lang w:val="en-US"/>
        </w:rPr>
        <w:tab/>
      </w:r>
      <w:r w:rsidRPr="00A43B59">
        <w:t>Scope and Purpose</w:t>
      </w:r>
      <w:r>
        <w:tab/>
      </w:r>
      <w:r w:rsidR="006977D7">
        <w:fldChar w:fldCharType="begin"/>
      </w:r>
      <w:r>
        <w:instrText xml:space="preserve"> PAGEREF _Toc250012697 \h </w:instrText>
      </w:r>
      <w:r w:rsidR="006977D7">
        <w:fldChar w:fldCharType="separate"/>
      </w:r>
      <w:r w:rsidR="00FE6116">
        <w:t>4</w:t>
      </w:r>
      <w:r w:rsidR="006977D7">
        <w:fldChar w:fldCharType="end"/>
      </w:r>
    </w:p>
    <w:p w:rsidR="00505CB8" w:rsidRDefault="00505CB8">
      <w:pPr>
        <w:pStyle w:val="TOC1"/>
        <w:rPr>
          <w:rFonts w:asciiTheme="minorHAnsi" w:eastAsiaTheme="minorEastAsia" w:hAnsiTheme="minorHAnsi" w:cstheme="minorBidi"/>
          <w:b w:val="0"/>
          <w:bCs w:val="0"/>
          <w:sz w:val="22"/>
          <w:szCs w:val="22"/>
          <w:lang w:val="en-US"/>
        </w:rPr>
      </w:pPr>
      <w:r w:rsidRPr="00A43B59">
        <w:t>3.</w:t>
      </w:r>
      <w:r>
        <w:rPr>
          <w:rFonts w:asciiTheme="minorHAnsi" w:eastAsiaTheme="minorEastAsia" w:hAnsiTheme="minorHAnsi" w:cstheme="minorBidi"/>
          <w:b w:val="0"/>
          <w:bCs w:val="0"/>
          <w:sz w:val="22"/>
          <w:szCs w:val="22"/>
          <w:lang w:val="en-US"/>
        </w:rPr>
        <w:tab/>
      </w:r>
      <w:r w:rsidRPr="00A43B59">
        <w:t>Definitions</w:t>
      </w:r>
      <w:r>
        <w:tab/>
      </w:r>
      <w:r w:rsidR="006977D7">
        <w:fldChar w:fldCharType="begin"/>
      </w:r>
      <w:r>
        <w:instrText xml:space="preserve"> PAGEREF _Toc250012698 \h </w:instrText>
      </w:r>
      <w:r w:rsidR="006977D7">
        <w:fldChar w:fldCharType="separate"/>
      </w:r>
      <w:r w:rsidR="00FE6116">
        <w:t>5</w:t>
      </w:r>
      <w:r w:rsidR="006977D7">
        <w:fldChar w:fldCharType="end"/>
      </w:r>
    </w:p>
    <w:p w:rsidR="00505CB8" w:rsidRDefault="00505CB8">
      <w:pPr>
        <w:pStyle w:val="TOC1"/>
        <w:rPr>
          <w:rFonts w:asciiTheme="minorHAnsi" w:eastAsiaTheme="minorEastAsia" w:hAnsiTheme="minorHAnsi" w:cstheme="minorBidi"/>
          <w:b w:val="0"/>
          <w:bCs w:val="0"/>
          <w:sz w:val="22"/>
          <w:szCs w:val="22"/>
          <w:lang w:val="en-US"/>
        </w:rPr>
      </w:pPr>
      <w:r w:rsidRPr="00A43B59">
        <w:t>4.</w:t>
      </w:r>
      <w:r>
        <w:rPr>
          <w:rFonts w:asciiTheme="minorHAnsi" w:eastAsiaTheme="minorEastAsia" w:hAnsiTheme="minorHAnsi" w:cstheme="minorBidi"/>
          <w:b w:val="0"/>
          <w:bCs w:val="0"/>
          <w:sz w:val="22"/>
          <w:szCs w:val="22"/>
          <w:lang w:val="en-US"/>
        </w:rPr>
        <w:tab/>
      </w:r>
      <w:r w:rsidRPr="00A43B59">
        <w:t>Relevant Market</w:t>
      </w:r>
      <w:r>
        <w:tab/>
      </w:r>
      <w:r w:rsidR="006977D7">
        <w:fldChar w:fldCharType="begin"/>
      </w:r>
      <w:r>
        <w:instrText xml:space="preserve"> PAGEREF _Toc250012699 \h </w:instrText>
      </w:r>
      <w:r w:rsidR="006977D7">
        <w:fldChar w:fldCharType="separate"/>
      </w:r>
      <w:r w:rsidR="00FE6116">
        <w:t>6</w:t>
      </w:r>
      <w:r w:rsidR="006977D7">
        <w:fldChar w:fldCharType="end"/>
      </w:r>
    </w:p>
    <w:p w:rsidR="00505CB8" w:rsidRDefault="00505CB8">
      <w:pPr>
        <w:pStyle w:val="TOC1"/>
        <w:rPr>
          <w:rFonts w:asciiTheme="minorHAnsi" w:eastAsiaTheme="minorEastAsia" w:hAnsiTheme="minorHAnsi" w:cstheme="minorBidi"/>
          <w:b w:val="0"/>
          <w:bCs w:val="0"/>
          <w:sz w:val="22"/>
          <w:szCs w:val="22"/>
          <w:lang w:val="en-US"/>
        </w:rPr>
      </w:pPr>
      <w:r w:rsidRPr="00A43B59">
        <w:t>5.</w:t>
      </w:r>
      <w:r>
        <w:rPr>
          <w:rFonts w:asciiTheme="minorHAnsi" w:eastAsiaTheme="minorEastAsia" w:hAnsiTheme="minorHAnsi" w:cstheme="minorBidi"/>
          <w:b w:val="0"/>
          <w:bCs w:val="0"/>
          <w:sz w:val="22"/>
          <w:szCs w:val="22"/>
          <w:lang w:val="en-US"/>
        </w:rPr>
        <w:tab/>
      </w:r>
      <w:r w:rsidRPr="00A43B59">
        <w:t>Anti-Competitive Agreements or Understandings</w:t>
      </w:r>
      <w:r>
        <w:tab/>
      </w:r>
      <w:r w:rsidR="006977D7">
        <w:fldChar w:fldCharType="begin"/>
      </w:r>
      <w:r>
        <w:instrText xml:space="preserve"> PAGEREF _Toc250012700 \h </w:instrText>
      </w:r>
      <w:r w:rsidR="006977D7">
        <w:fldChar w:fldCharType="separate"/>
      </w:r>
      <w:r w:rsidR="00FE6116">
        <w:t>7</w:t>
      </w:r>
      <w:r w:rsidR="006977D7">
        <w:fldChar w:fldCharType="end"/>
      </w:r>
    </w:p>
    <w:p w:rsidR="00505CB8" w:rsidRDefault="00505CB8">
      <w:pPr>
        <w:pStyle w:val="TOC1"/>
        <w:rPr>
          <w:rFonts w:asciiTheme="minorHAnsi" w:eastAsiaTheme="minorEastAsia" w:hAnsiTheme="minorHAnsi" w:cstheme="minorBidi"/>
          <w:b w:val="0"/>
          <w:bCs w:val="0"/>
          <w:sz w:val="22"/>
          <w:szCs w:val="22"/>
          <w:lang w:val="en-US"/>
        </w:rPr>
      </w:pPr>
      <w:r w:rsidRPr="00A43B59">
        <w:t>6.</w:t>
      </w:r>
      <w:r>
        <w:rPr>
          <w:rFonts w:asciiTheme="minorHAnsi" w:eastAsiaTheme="minorEastAsia" w:hAnsiTheme="minorHAnsi" w:cstheme="minorBidi"/>
          <w:b w:val="0"/>
          <w:bCs w:val="0"/>
          <w:sz w:val="22"/>
          <w:szCs w:val="22"/>
          <w:lang w:val="en-US"/>
        </w:rPr>
        <w:tab/>
      </w:r>
      <w:r w:rsidRPr="00A43B59">
        <w:t>Misuse of Market Power</w:t>
      </w:r>
      <w:r>
        <w:tab/>
      </w:r>
      <w:r w:rsidR="006977D7">
        <w:fldChar w:fldCharType="begin"/>
      </w:r>
      <w:r>
        <w:instrText xml:space="preserve"> PAGEREF _Toc250012701 \h </w:instrText>
      </w:r>
      <w:r w:rsidR="006977D7">
        <w:fldChar w:fldCharType="separate"/>
      </w:r>
      <w:r w:rsidR="00FE6116">
        <w:t>8</w:t>
      </w:r>
      <w:r w:rsidR="006977D7">
        <w:fldChar w:fldCharType="end"/>
      </w:r>
    </w:p>
    <w:p w:rsidR="00505CB8" w:rsidRDefault="00505CB8">
      <w:pPr>
        <w:pStyle w:val="TOC1"/>
        <w:rPr>
          <w:rFonts w:asciiTheme="minorHAnsi" w:eastAsiaTheme="minorEastAsia" w:hAnsiTheme="minorHAnsi" w:cstheme="minorBidi"/>
          <w:b w:val="0"/>
          <w:bCs w:val="0"/>
          <w:sz w:val="22"/>
          <w:szCs w:val="22"/>
          <w:lang w:val="en-US"/>
        </w:rPr>
      </w:pPr>
      <w:r w:rsidRPr="00A43B59">
        <w:t>7.</w:t>
      </w:r>
      <w:r>
        <w:rPr>
          <w:rFonts w:asciiTheme="minorHAnsi" w:eastAsiaTheme="minorEastAsia" w:hAnsiTheme="minorHAnsi" w:cstheme="minorBidi"/>
          <w:b w:val="0"/>
          <w:bCs w:val="0"/>
          <w:sz w:val="22"/>
          <w:szCs w:val="22"/>
          <w:lang w:val="en-US"/>
        </w:rPr>
        <w:tab/>
      </w:r>
      <w:r w:rsidRPr="00A43B59">
        <w:t>Exemptions</w:t>
      </w:r>
      <w:r>
        <w:tab/>
      </w:r>
      <w:r w:rsidR="006977D7">
        <w:fldChar w:fldCharType="begin"/>
      </w:r>
      <w:r>
        <w:instrText xml:space="preserve"> PAGEREF _Toc250012702 \h </w:instrText>
      </w:r>
      <w:r w:rsidR="006977D7">
        <w:fldChar w:fldCharType="separate"/>
      </w:r>
      <w:r w:rsidR="00FE6116">
        <w:t>10</w:t>
      </w:r>
      <w:r w:rsidR="006977D7">
        <w:fldChar w:fldCharType="end"/>
      </w:r>
    </w:p>
    <w:p w:rsidR="00505CB8" w:rsidRDefault="00505CB8">
      <w:pPr>
        <w:pStyle w:val="TOC1"/>
        <w:rPr>
          <w:rFonts w:asciiTheme="minorHAnsi" w:eastAsiaTheme="minorEastAsia" w:hAnsiTheme="minorHAnsi" w:cstheme="minorBidi"/>
          <w:b w:val="0"/>
          <w:bCs w:val="0"/>
          <w:sz w:val="22"/>
          <w:szCs w:val="22"/>
          <w:lang w:val="en-US"/>
        </w:rPr>
      </w:pPr>
      <w:r w:rsidRPr="00A43B59">
        <w:t>8.</w:t>
      </w:r>
      <w:r>
        <w:rPr>
          <w:rFonts w:asciiTheme="minorHAnsi" w:eastAsiaTheme="minorEastAsia" w:hAnsiTheme="minorHAnsi" w:cstheme="minorBidi"/>
          <w:b w:val="0"/>
          <w:bCs w:val="0"/>
          <w:sz w:val="22"/>
          <w:szCs w:val="22"/>
          <w:lang w:val="en-US"/>
        </w:rPr>
        <w:tab/>
      </w:r>
      <w:r w:rsidRPr="00A43B59">
        <w:t>Effective Date</w:t>
      </w:r>
      <w:r>
        <w:tab/>
      </w:r>
      <w:r w:rsidR="006977D7">
        <w:fldChar w:fldCharType="begin"/>
      </w:r>
      <w:r>
        <w:instrText xml:space="preserve"> PAGEREF _Toc250012703 \h </w:instrText>
      </w:r>
      <w:r w:rsidR="006977D7">
        <w:fldChar w:fldCharType="separate"/>
      </w:r>
      <w:r w:rsidR="00FE6116">
        <w:t>10</w:t>
      </w:r>
      <w:r w:rsidR="006977D7">
        <w:fldChar w:fldCharType="end"/>
      </w:r>
    </w:p>
    <w:p w:rsidR="00875CB0" w:rsidRPr="00550F3E" w:rsidRDefault="006977D7" w:rsidP="00FC4DF1">
      <w:pPr>
        <w:suppressAutoHyphens/>
      </w:pPr>
      <w:r w:rsidRPr="00550F3E">
        <w:rPr>
          <w:rFonts w:ascii="Arial Bold" w:hAnsi="Arial Bold"/>
          <w:b/>
          <w:bCs/>
        </w:rPr>
        <w:fldChar w:fldCharType="end"/>
      </w:r>
    </w:p>
    <w:p w:rsidR="00FC4DF1" w:rsidRPr="00542BF4" w:rsidRDefault="00094F2C" w:rsidP="00542BF4">
      <w:pPr>
        <w:pStyle w:val="Heading1"/>
        <w:keepNext w:val="0"/>
        <w:numPr>
          <w:ilvl w:val="0"/>
          <w:numId w:val="33"/>
        </w:numPr>
        <w:rPr>
          <w:lang w:val="en-GB"/>
        </w:rPr>
      </w:pPr>
      <w:r w:rsidRPr="00542BF4">
        <w:rPr>
          <w:lang w:val="en-GB"/>
        </w:rPr>
        <w:br w:type="page"/>
      </w:r>
      <w:bookmarkStart w:id="0" w:name="_Toc241827116"/>
      <w:bookmarkStart w:id="1" w:name="_Toc241894337"/>
      <w:bookmarkStart w:id="2" w:name="_Toc250012696"/>
      <w:r w:rsidRPr="00542BF4">
        <w:rPr>
          <w:lang w:val="en-GB"/>
        </w:rPr>
        <w:lastRenderedPageBreak/>
        <w:t>Legal Reference</w:t>
      </w:r>
      <w:bookmarkEnd w:id="0"/>
      <w:bookmarkEnd w:id="1"/>
      <w:bookmarkEnd w:id="2"/>
    </w:p>
    <w:p w:rsidR="00445931" w:rsidRDefault="00094F2C">
      <w:pPr>
        <w:pStyle w:val="Heading2"/>
        <w:rPr>
          <w:lang w:val="en-GB"/>
        </w:rPr>
      </w:pPr>
      <w:proofErr w:type="gramStart"/>
      <w:r w:rsidRPr="00094F2C">
        <w:rPr>
          <w:lang w:val="en-GB"/>
        </w:rPr>
        <w:t xml:space="preserve">Article 12 of </w:t>
      </w:r>
      <w:r w:rsidRPr="00094F2C">
        <w:rPr>
          <w:i/>
          <w:iCs/>
          <w:lang w:val="en-GB"/>
        </w:rPr>
        <w:t>Federal Law by Decree No.</w:t>
      </w:r>
      <w:proofErr w:type="gramEnd"/>
      <w:r w:rsidRPr="00094F2C">
        <w:rPr>
          <w:i/>
          <w:iCs/>
          <w:lang w:val="en-GB"/>
        </w:rPr>
        <w:t xml:space="preserve"> (3) </w:t>
      </w:r>
      <w:proofErr w:type="gramStart"/>
      <w:r w:rsidRPr="00094F2C">
        <w:rPr>
          <w:i/>
          <w:iCs/>
          <w:lang w:val="en-GB"/>
        </w:rPr>
        <w:t>of</w:t>
      </w:r>
      <w:proofErr w:type="gramEnd"/>
      <w:r w:rsidRPr="00094F2C">
        <w:rPr>
          <w:i/>
          <w:iCs/>
          <w:lang w:val="en-GB"/>
        </w:rPr>
        <w:t xml:space="preserve"> 2003</w:t>
      </w:r>
      <w:r w:rsidRPr="00094F2C">
        <w:rPr>
          <w:lang w:val="en-GB"/>
        </w:rPr>
        <w:t>, as amended (the “</w:t>
      </w:r>
      <w:r w:rsidRPr="00094F2C">
        <w:rPr>
          <w:b/>
          <w:bCs w:val="0"/>
          <w:lang w:val="en-GB"/>
        </w:rPr>
        <w:t>Telecommunications</w:t>
      </w:r>
      <w:r w:rsidRPr="00094F2C">
        <w:rPr>
          <w:lang w:val="en-GB"/>
        </w:rPr>
        <w:t xml:space="preserve"> </w:t>
      </w:r>
      <w:r w:rsidRPr="00094F2C">
        <w:rPr>
          <w:b/>
          <w:bCs w:val="0"/>
          <w:lang w:val="en-GB"/>
        </w:rPr>
        <w:t>Law</w:t>
      </w:r>
      <w:r w:rsidRPr="00094F2C">
        <w:rPr>
          <w:lang w:val="en-GB"/>
        </w:rPr>
        <w:t>”) establishes the Telecommunications Regulatory Authority (the “</w:t>
      </w:r>
      <w:r w:rsidRPr="00094F2C">
        <w:rPr>
          <w:b/>
          <w:bCs w:val="0"/>
          <w:lang w:val="en-GB"/>
        </w:rPr>
        <w:t>TRA</w:t>
      </w:r>
      <w:r w:rsidRPr="00094F2C">
        <w:rPr>
          <w:lang w:val="en-GB"/>
        </w:rPr>
        <w:t>”) as the competent body to oversee the telecommunication</w:t>
      </w:r>
      <w:r w:rsidR="00BE0B79">
        <w:rPr>
          <w:lang w:val="en-GB"/>
        </w:rPr>
        <w:t>s</w:t>
      </w:r>
      <w:r w:rsidRPr="00094F2C">
        <w:rPr>
          <w:lang w:val="en-GB"/>
        </w:rPr>
        <w:t xml:space="preserve"> sector in the UAE.</w:t>
      </w:r>
    </w:p>
    <w:p w:rsidR="00445931" w:rsidRDefault="00094F2C">
      <w:pPr>
        <w:pStyle w:val="Heading2"/>
        <w:rPr>
          <w:lang w:val="en-GB"/>
        </w:rPr>
      </w:pPr>
      <w:proofErr w:type="gramStart"/>
      <w:r w:rsidRPr="00094F2C">
        <w:rPr>
          <w:lang w:val="en-GB"/>
        </w:rPr>
        <w:t>Additionally, Article 14(4) of</w:t>
      </w:r>
      <w:r w:rsidRPr="00094F2C">
        <w:rPr>
          <w:b/>
          <w:lang w:val="en-GB"/>
        </w:rPr>
        <w:t xml:space="preserve"> </w:t>
      </w:r>
      <w:r w:rsidRPr="00094F2C">
        <w:rPr>
          <w:i/>
          <w:iCs/>
          <w:lang w:val="en-GB"/>
        </w:rPr>
        <w:t>Federal Law by Decree No.</w:t>
      </w:r>
      <w:proofErr w:type="gramEnd"/>
      <w:r w:rsidRPr="00094F2C">
        <w:rPr>
          <w:i/>
          <w:iCs/>
          <w:lang w:val="en-GB"/>
        </w:rPr>
        <w:t xml:space="preserve"> (5) </w:t>
      </w:r>
      <w:proofErr w:type="gramStart"/>
      <w:r w:rsidRPr="00094F2C">
        <w:rPr>
          <w:i/>
          <w:iCs/>
          <w:lang w:val="en-GB"/>
        </w:rPr>
        <w:t>of</w:t>
      </w:r>
      <w:proofErr w:type="gramEnd"/>
      <w:r w:rsidRPr="00094F2C">
        <w:rPr>
          <w:i/>
          <w:iCs/>
          <w:lang w:val="en-GB"/>
        </w:rPr>
        <w:t xml:space="preserve"> 2008</w:t>
      </w:r>
      <w:r w:rsidRPr="00094F2C">
        <w:rPr>
          <w:lang w:val="en-GB"/>
        </w:rPr>
        <w:t xml:space="preserve">, amending the provisions of the </w:t>
      </w:r>
      <w:r w:rsidRPr="00094F2C">
        <w:rPr>
          <w:i/>
          <w:iCs/>
          <w:lang w:val="en-GB"/>
        </w:rPr>
        <w:t xml:space="preserve">Federal Law by </w:t>
      </w:r>
      <w:r w:rsidRPr="00094F2C">
        <w:rPr>
          <w:lang w:val="en-GB"/>
        </w:rPr>
        <w:t>Decree</w:t>
      </w:r>
      <w:r w:rsidRPr="00094F2C">
        <w:rPr>
          <w:i/>
          <w:iCs/>
          <w:lang w:val="en-GB"/>
        </w:rPr>
        <w:t xml:space="preserve"> No. (3) </w:t>
      </w:r>
      <w:proofErr w:type="gramStart"/>
      <w:r w:rsidRPr="00094F2C">
        <w:rPr>
          <w:i/>
          <w:iCs/>
          <w:lang w:val="en-GB"/>
        </w:rPr>
        <w:t>of</w:t>
      </w:r>
      <w:proofErr w:type="gramEnd"/>
      <w:r w:rsidRPr="00094F2C">
        <w:rPr>
          <w:i/>
          <w:iCs/>
          <w:lang w:val="en-GB"/>
        </w:rPr>
        <w:t xml:space="preserve"> 2003</w:t>
      </w:r>
      <w:r w:rsidRPr="00094F2C">
        <w:rPr>
          <w:lang w:val="en-GB"/>
        </w:rPr>
        <w:t xml:space="preserve">, specifically grants to the TRA the power to issue regulations, instructions, resolutions and procedures, “regulating and ensuring competition in the telecommunications sector…” </w:t>
      </w:r>
    </w:p>
    <w:p w:rsidR="00FC4DF1" w:rsidRPr="00550F3E" w:rsidRDefault="00094F2C" w:rsidP="003E2D29">
      <w:pPr>
        <w:pStyle w:val="Heading1"/>
        <w:keepNext w:val="0"/>
        <w:suppressAutoHyphens/>
        <w:rPr>
          <w:lang w:val="en-GB"/>
        </w:rPr>
      </w:pPr>
      <w:bookmarkStart w:id="3" w:name="_Toc241827117"/>
      <w:bookmarkStart w:id="4" w:name="_Toc241894338"/>
      <w:bookmarkStart w:id="5" w:name="_Toc250012697"/>
      <w:r w:rsidRPr="00094F2C">
        <w:rPr>
          <w:lang w:val="en-GB"/>
        </w:rPr>
        <w:t>Scope and Purpose</w:t>
      </w:r>
      <w:bookmarkEnd w:id="3"/>
      <w:bookmarkEnd w:id="4"/>
      <w:bookmarkEnd w:id="5"/>
    </w:p>
    <w:p w:rsidR="00FC4DF1" w:rsidRPr="00550F3E" w:rsidRDefault="00094F2C" w:rsidP="007A33F9">
      <w:pPr>
        <w:pStyle w:val="Heading2"/>
        <w:rPr>
          <w:lang w:val="en-GB"/>
        </w:rPr>
      </w:pPr>
      <w:bookmarkStart w:id="6" w:name="_Ref218176682"/>
      <w:r w:rsidRPr="00094F2C">
        <w:rPr>
          <w:lang w:val="en-GB"/>
        </w:rPr>
        <w:t xml:space="preserve">The purpose of this Regulatory Policy is to further establish </w:t>
      </w:r>
      <w:r w:rsidRPr="00094F2C">
        <w:rPr>
          <w:i/>
          <w:iCs/>
          <w:lang w:val="en-GB"/>
        </w:rPr>
        <w:t>ex post</w:t>
      </w:r>
      <w:r w:rsidRPr="00094F2C">
        <w:rPr>
          <w:lang w:val="en-GB"/>
        </w:rPr>
        <w:t xml:space="preserve"> competition safeguards in the UAE telecommunications sector. Together with the existing </w:t>
      </w:r>
      <w:r w:rsidRPr="00094F2C">
        <w:rPr>
          <w:i/>
          <w:lang w:val="en-GB"/>
        </w:rPr>
        <w:t>ex ante</w:t>
      </w:r>
      <w:r w:rsidRPr="00094F2C">
        <w:rPr>
          <w:lang w:val="en-GB"/>
        </w:rPr>
        <w:t xml:space="preserve"> regulation in place, and those that may be introduced in the future, the </w:t>
      </w:r>
      <w:r w:rsidRPr="00094F2C">
        <w:rPr>
          <w:i/>
          <w:lang w:val="en-GB"/>
        </w:rPr>
        <w:t>ex post</w:t>
      </w:r>
      <w:r w:rsidRPr="00094F2C">
        <w:rPr>
          <w:lang w:val="en-GB"/>
        </w:rPr>
        <w:t xml:space="preserve"> rules introduced by this Regulatory Policy, will provide a comprehensive regime of competition regulation. While the application of </w:t>
      </w:r>
      <w:r w:rsidRPr="00094F2C">
        <w:rPr>
          <w:i/>
          <w:lang w:val="en-GB"/>
        </w:rPr>
        <w:t>ex ante</w:t>
      </w:r>
      <w:r w:rsidRPr="00094F2C">
        <w:rPr>
          <w:lang w:val="en-GB"/>
        </w:rPr>
        <w:t xml:space="preserve"> and </w:t>
      </w:r>
      <w:r w:rsidRPr="00094F2C">
        <w:rPr>
          <w:i/>
          <w:lang w:val="en-GB"/>
        </w:rPr>
        <w:t>ex post</w:t>
      </w:r>
      <w:r w:rsidRPr="00094F2C">
        <w:rPr>
          <w:lang w:val="en-GB"/>
        </w:rPr>
        <w:t xml:space="preserve"> remedies involves a consideration of similar basic principles and economic and legal concepts and analysis, their objectives and uses are quite different:</w:t>
      </w:r>
    </w:p>
    <w:p w:rsidR="00531B01" w:rsidRPr="00550F3E" w:rsidRDefault="00333F26" w:rsidP="007A33F9">
      <w:pPr>
        <w:pStyle w:val="Heading3"/>
      </w:pPr>
      <w:r w:rsidRPr="00094F2C">
        <w:rPr>
          <w:i/>
        </w:rPr>
        <w:t>Ex</w:t>
      </w:r>
      <w:r w:rsidR="00094F2C" w:rsidRPr="00094F2C">
        <w:rPr>
          <w:i/>
        </w:rPr>
        <w:t xml:space="preserve"> ante </w:t>
      </w:r>
      <w:r w:rsidR="00094F2C" w:rsidRPr="00094F2C">
        <w:t xml:space="preserve">regulation is “forward-looking” in application, and generally consists of the use by regulators of “tools” or “levers” by which the regulator seeks to intervene in the development of a market. The regulator may seek to achieve this through the introduction of measures designed to introduce a degree of competition in existing markets, or to create the circumstances in which that competition may develop. The TRA has already introduced some </w:t>
      </w:r>
      <w:r w:rsidR="00094F2C" w:rsidRPr="00094F2C">
        <w:rPr>
          <w:i/>
        </w:rPr>
        <w:t>ex ante</w:t>
      </w:r>
      <w:r w:rsidR="00094F2C" w:rsidRPr="00094F2C">
        <w:t xml:space="preserve"> regulation, and may introduce further such regulation. Such </w:t>
      </w:r>
      <w:r w:rsidR="00094F2C" w:rsidRPr="00094F2C">
        <w:rPr>
          <w:i/>
        </w:rPr>
        <w:t>ex ante</w:t>
      </w:r>
      <w:r w:rsidR="00094F2C" w:rsidRPr="00094F2C">
        <w:t xml:space="preserve"> measures are not the subject of this Regulatory Policy.</w:t>
      </w:r>
    </w:p>
    <w:p w:rsidR="00973113" w:rsidRPr="00550F3E" w:rsidRDefault="00333F26" w:rsidP="003972A4">
      <w:pPr>
        <w:pStyle w:val="Heading3"/>
      </w:pPr>
      <w:r w:rsidRPr="00094F2C">
        <w:rPr>
          <w:i/>
        </w:rPr>
        <w:t>Ex</w:t>
      </w:r>
      <w:r w:rsidR="00094F2C" w:rsidRPr="00094F2C">
        <w:rPr>
          <w:i/>
        </w:rPr>
        <w:t xml:space="preserve"> post</w:t>
      </w:r>
      <w:r w:rsidR="00094F2C" w:rsidRPr="00094F2C">
        <w:t xml:space="preserve"> regulation on the other hand, is not designed to introduce competition into a market, but rather to safeguard whatever degree of competition may exist from time to time in </w:t>
      </w:r>
      <w:r w:rsidR="00094F2C" w:rsidRPr="00094F2C">
        <w:lastRenderedPageBreak/>
        <w:t xml:space="preserve">the market. </w:t>
      </w:r>
      <w:r w:rsidR="00094F2C" w:rsidRPr="00094F2C">
        <w:rPr>
          <w:i/>
          <w:iCs/>
        </w:rPr>
        <w:t>Ex post</w:t>
      </w:r>
      <w:r w:rsidR="00094F2C" w:rsidRPr="00094F2C">
        <w:t xml:space="preserve"> regulation tends to be reactive in nature. </w:t>
      </w:r>
      <w:r w:rsidR="00094F2C" w:rsidRPr="00094F2C">
        <w:rPr>
          <w:i/>
          <w:iCs/>
        </w:rPr>
        <w:t>E</w:t>
      </w:r>
      <w:r w:rsidR="00094F2C" w:rsidRPr="00094F2C">
        <w:rPr>
          <w:rStyle w:val="Emphasis"/>
          <w:bCs w:val="0"/>
        </w:rPr>
        <w:t>x post</w:t>
      </w:r>
      <w:r w:rsidR="00094F2C" w:rsidRPr="00094F2C">
        <w:rPr>
          <w:rStyle w:val="Emphasis"/>
          <w:bCs w:val="0"/>
          <w:i w:val="0"/>
          <w:iCs w:val="0"/>
        </w:rPr>
        <w:t xml:space="preserve"> rules provide a framework for the regulator to</w:t>
      </w:r>
      <w:r w:rsidR="00094F2C" w:rsidRPr="00094F2C">
        <w:rPr>
          <w:rStyle w:val="Emphasis"/>
          <w:bCs w:val="0"/>
          <w:i w:val="0"/>
        </w:rPr>
        <w:t xml:space="preserve"> </w:t>
      </w:r>
      <w:r w:rsidR="00094F2C" w:rsidRPr="00094F2C">
        <w:t>deal on</w:t>
      </w:r>
      <w:r w:rsidR="00BE0B79">
        <w:t xml:space="preserve"> a</w:t>
      </w:r>
      <w:r w:rsidR="00094F2C" w:rsidRPr="00094F2C">
        <w:t xml:space="preserve"> case by case basis with specific allegations of anti-competitive behaviour that may lead to market failure. An </w:t>
      </w:r>
      <w:r w:rsidR="00094F2C" w:rsidRPr="00094F2C">
        <w:rPr>
          <w:i/>
        </w:rPr>
        <w:t>ex post</w:t>
      </w:r>
      <w:r w:rsidR="00094F2C" w:rsidRPr="00094F2C">
        <w:t xml:space="preserve"> competition regulatory framework allows the regulator to identify such behaviour and to redress it through a range of enforcement options including fines and orders to cease the anti-competitive behaviour.</w:t>
      </w:r>
      <w:r w:rsidR="00094F2C" w:rsidRPr="00094F2C">
        <w:rPr>
          <w:i/>
        </w:rPr>
        <w:t xml:space="preserve"> </w:t>
      </w:r>
      <w:r w:rsidR="00094F2C" w:rsidRPr="00094F2C">
        <w:t xml:space="preserve">Typically </w:t>
      </w:r>
      <w:r w:rsidR="00094F2C" w:rsidRPr="00094F2C">
        <w:rPr>
          <w:i/>
        </w:rPr>
        <w:t>ex post</w:t>
      </w:r>
      <w:r w:rsidR="00094F2C" w:rsidRPr="00094F2C">
        <w:t xml:space="preserve"> </w:t>
      </w:r>
      <w:proofErr w:type="gramStart"/>
      <w:r w:rsidR="00094F2C" w:rsidRPr="00094F2C">
        <w:t xml:space="preserve">regulatory activities aim to redress proven misconduct through a range of enforcement options including fines, injunctions, or bans and </w:t>
      </w:r>
      <w:r w:rsidR="00BE0B79">
        <w:t>is</w:t>
      </w:r>
      <w:proofErr w:type="gramEnd"/>
      <w:r w:rsidR="00BE0B79">
        <w:t xml:space="preserve"> </w:t>
      </w:r>
      <w:r w:rsidR="00094F2C" w:rsidRPr="00094F2C">
        <w:t>designed to deal with identified and specific examples of behaviour that may lead to market failure.</w:t>
      </w:r>
    </w:p>
    <w:p w:rsidR="00FC4DF1" w:rsidRPr="00550F3E" w:rsidRDefault="00094F2C" w:rsidP="00381DB4">
      <w:pPr>
        <w:pStyle w:val="Heading2"/>
        <w:rPr>
          <w:lang w:val="en-GB"/>
        </w:rPr>
      </w:pPr>
      <w:r w:rsidRPr="00094F2C">
        <w:rPr>
          <w:lang w:val="en-GB"/>
        </w:rPr>
        <w:t xml:space="preserve">This Regulatory Policy is ultimately for the benefit of consumers, to </w:t>
      </w:r>
      <w:bookmarkEnd w:id="6"/>
      <w:r w:rsidRPr="00094F2C">
        <w:rPr>
          <w:lang w:val="en-GB"/>
        </w:rPr>
        <w:t>promote and protect competition by deterring Entities from engaging in activities that may impede competition in the UAE telecommunication</w:t>
      </w:r>
      <w:r w:rsidR="00BE0B79">
        <w:rPr>
          <w:lang w:val="en-GB"/>
        </w:rPr>
        <w:t>s</w:t>
      </w:r>
      <w:r w:rsidRPr="00094F2C">
        <w:rPr>
          <w:lang w:val="en-GB"/>
        </w:rPr>
        <w:t xml:space="preserve"> sector.  </w:t>
      </w:r>
    </w:p>
    <w:p w:rsidR="00FC4DF1" w:rsidRPr="00550F3E" w:rsidRDefault="00094F2C" w:rsidP="00381DB4">
      <w:pPr>
        <w:pStyle w:val="Heading2"/>
        <w:rPr>
          <w:b/>
          <w:sz w:val="20"/>
          <w:szCs w:val="20"/>
          <w:lang w:val="en-GB"/>
        </w:rPr>
      </w:pPr>
      <w:r w:rsidRPr="00094F2C">
        <w:rPr>
          <w:lang w:val="en-GB"/>
        </w:rPr>
        <w:t xml:space="preserve">This Regulatory Policy does not limit or in any way qualify any other obligation or prohibition described in the laws of the UAE, the Telecommunications Law and its amendments, the TRA’s Regulatory Framework or any License or similar authorization. However, if as a result of activities undertaken by the TRA under this Regulatory Policy, it appears to the TRA that there has been a market </w:t>
      </w:r>
      <w:proofErr w:type="gramStart"/>
      <w:r w:rsidRPr="00094F2C">
        <w:rPr>
          <w:lang w:val="en-GB"/>
        </w:rPr>
        <w:t>failure,</w:t>
      </w:r>
      <w:proofErr w:type="gramEnd"/>
      <w:r w:rsidRPr="00094F2C">
        <w:rPr>
          <w:lang w:val="en-GB"/>
        </w:rPr>
        <w:t xml:space="preserve"> the TRA may decide to put in place further measures to correct that market failure or to promote the development of sustainable competition.</w:t>
      </w:r>
      <w:r w:rsidRPr="00094F2C">
        <w:rPr>
          <w:b/>
          <w:sz w:val="20"/>
          <w:szCs w:val="20"/>
          <w:lang w:val="en-GB"/>
        </w:rPr>
        <w:t xml:space="preserve">  </w:t>
      </w:r>
    </w:p>
    <w:p w:rsidR="00FC4DF1" w:rsidRPr="00550F3E" w:rsidRDefault="00094F2C" w:rsidP="00952E0B">
      <w:pPr>
        <w:pStyle w:val="Heading1"/>
        <w:keepNext w:val="0"/>
        <w:suppressAutoHyphens/>
        <w:rPr>
          <w:lang w:val="en-GB"/>
        </w:rPr>
      </w:pPr>
      <w:bookmarkStart w:id="7" w:name="_Toc241827118"/>
      <w:bookmarkStart w:id="8" w:name="_Toc241894339"/>
      <w:bookmarkStart w:id="9" w:name="_Toc250012698"/>
      <w:r w:rsidRPr="00094F2C">
        <w:rPr>
          <w:lang w:val="en-GB"/>
        </w:rPr>
        <w:t>Definitions</w:t>
      </w:r>
      <w:bookmarkEnd w:id="7"/>
      <w:bookmarkEnd w:id="8"/>
      <w:bookmarkEnd w:id="9"/>
    </w:p>
    <w:p w:rsidR="00FC4DF1" w:rsidRDefault="00094F2C" w:rsidP="00AA6921">
      <w:pPr>
        <w:pStyle w:val="Heading2"/>
        <w:ind w:left="1440"/>
        <w:rPr>
          <w:lang w:val="en-GB"/>
        </w:rPr>
      </w:pPr>
      <w:r w:rsidRPr="00AA6921">
        <w:rPr>
          <w:lang w:val="en-GB"/>
        </w:rPr>
        <w:t>The terms, words and phrases used in this Regulatory Policy shall have the same meaning as is ascribed to them in the Telecommunications Law unless this Regulatory Policy expressly provides for otherwise, or the context in which those terms, words and phrases are used in this Regulatory Policy requires otherwise. For the purposes of this Regulatory Policy, the following terms and words shall have the meanings ascribed to them below:</w:t>
      </w:r>
    </w:p>
    <w:p w:rsidR="006977D7" w:rsidRDefault="006977D7"/>
    <w:p w:rsidR="00FC4DF1" w:rsidRPr="00550F3E" w:rsidRDefault="00094F2C" w:rsidP="00AA6921">
      <w:pPr>
        <w:pStyle w:val="Heading3"/>
        <w:tabs>
          <w:tab w:val="clear" w:pos="2422"/>
        </w:tabs>
        <w:ind w:left="2410" w:hanging="970"/>
      </w:pPr>
      <w:r w:rsidRPr="00636DD5">
        <w:rPr>
          <w:b/>
          <w:bCs w:val="0"/>
        </w:rPr>
        <w:lastRenderedPageBreak/>
        <w:t>Entity</w:t>
      </w:r>
      <w:r w:rsidRPr="00AA6921">
        <w:t xml:space="preserve"> </w:t>
      </w:r>
      <w:r w:rsidRPr="00094F2C">
        <w:t xml:space="preserve">shall refer to any natural or juridical person whose activities fall within the authority of the TRA as derived from the Telecommunications Law. </w:t>
      </w:r>
    </w:p>
    <w:p w:rsidR="00481FA6" w:rsidRDefault="00094F2C">
      <w:pPr>
        <w:pStyle w:val="Heading3"/>
        <w:tabs>
          <w:tab w:val="clear" w:pos="2422"/>
        </w:tabs>
        <w:ind w:left="2410" w:hanging="970"/>
      </w:pPr>
      <w:r w:rsidRPr="00636DD5">
        <w:rPr>
          <w:b/>
          <w:bCs w:val="0"/>
        </w:rPr>
        <w:t xml:space="preserve">Market Power </w:t>
      </w:r>
      <w:r w:rsidR="00481FA6" w:rsidRPr="00481FA6">
        <w:t>shall mean</w:t>
      </w:r>
      <w:r w:rsidR="00292ABB" w:rsidRPr="00292ABB">
        <w:t xml:space="preserve"> </w:t>
      </w:r>
      <w:r w:rsidR="00963F02">
        <w:t>a position of economic strength enjoyed by an Entity</w:t>
      </w:r>
      <w:r w:rsidR="00687619">
        <w:t>, either individually or jointly with others,</w:t>
      </w:r>
      <w:r w:rsidR="00963F02">
        <w:t xml:space="preserve"> which enables it to behave to an appreciable extent independently of its competitors, customers, and ultimately consumers.  </w:t>
      </w:r>
      <w:r w:rsidR="00687619" w:rsidDel="00687619">
        <w:t xml:space="preserve"> </w:t>
      </w:r>
    </w:p>
    <w:p w:rsidR="00027D59" w:rsidRPr="00027D59" w:rsidRDefault="00094F2C" w:rsidP="00AA6921">
      <w:pPr>
        <w:pStyle w:val="Heading3"/>
        <w:tabs>
          <w:tab w:val="clear" w:pos="2422"/>
        </w:tabs>
        <w:ind w:left="2410" w:hanging="970"/>
      </w:pPr>
      <w:r w:rsidRPr="00636DD5">
        <w:rPr>
          <w:b/>
          <w:bCs w:val="0"/>
        </w:rPr>
        <w:t>Market Share</w:t>
      </w:r>
      <w:r w:rsidRPr="00094F2C">
        <w:t xml:space="preserve"> refers to the share of an Entity or Entities of a Relevant Market. Market Share may be calculated on a volume or value measure. The TRA shall use the most appropriate measure depending on the nature of the Telecommunication</w:t>
      </w:r>
      <w:r w:rsidR="005F2368">
        <w:t>s</w:t>
      </w:r>
      <w:r w:rsidRPr="00094F2C">
        <w:t xml:space="preserve"> Service or product in question.</w:t>
      </w:r>
      <w:r w:rsidR="00027D59" w:rsidRPr="00027D59">
        <w:rPr>
          <w:b/>
        </w:rPr>
        <w:t xml:space="preserve"> </w:t>
      </w:r>
    </w:p>
    <w:p w:rsidR="00E36336" w:rsidRPr="00AA6921" w:rsidRDefault="00027D59" w:rsidP="00AA6921">
      <w:pPr>
        <w:pStyle w:val="Heading3"/>
        <w:tabs>
          <w:tab w:val="clear" w:pos="2422"/>
        </w:tabs>
        <w:ind w:left="2410" w:hanging="970"/>
      </w:pPr>
      <w:r w:rsidRPr="007A020F">
        <w:rPr>
          <w:b/>
        </w:rPr>
        <w:t>Regulatory</w:t>
      </w:r>
      <w:r w:rsidRPr="007A020F">
        <w:t xml:space="preserve"> </w:t>
      </w:r>
      <w:r w:rsidRPr="007A020F">
        <w:rPr>
          <w:b/>
        </w:rPr>
        <w:t xml:space="preserve">Framework </w:t>
      </w:r>
      <w:r w:rsidRPr="007A020F">
        <w:t>shall</w:t>
      </w:r>
      <w:r w:rsidRPr="007A020F">
        <w:rPr>
          <w:b/>
        </w:rPr>
        <w:t xml:space="preserve"> </w:t>
      </w:r>
      <w:r w:rsidRPr="007A020F">
        <w:t>mean the policies, regulations, directions, orders, decisions, procedures, guidelines or other regulatory instruments which have been issued or may be amended by the TRA from time to time pursuant to the Telecommunications Law and any amendments thereto</w:t>
      </w:r>
    </w:p>
    <w:p w:rsidR="00094F2C" w:rsidRPr="00AA6921" w:rsidRDefault="00094F2C" w:rsidP="00AA6921">
      <w:pPr>
        <w:pStyle w:val="Heading3"/>
        <w:tabs>
          <w:tab w:val="clear" w:pos="2422"/>
        </w:tabs>
        <w:ind w:left="2410" w:hanging="970"/>
      </w:pPr>
      <w:r w:rsidRPr="00636DD5">
        <w:rPr>
          <w:b/>
          <w:bCs w:val="0"/>
        </w:rPr>
        <w:t>Relevant Market</w:t>
      </w:r>
      <w:r w:rsidRPr="00094F2C">
        <w:t xml:space="preserve"> means the market for a group of Telecommunications Services or related products, which are, from the perspective of consumers of those Telecommunications Services or related products, and providers of those Telecommunications Services or related products, substitutable </w:t>
      </w:r>
      <w:r w:rsidRPr="00AA6921">
        <w:t xml:space="preserve">due to the </w:t>
      </w:r>
      <w:r w:rsidRPr="00094F2C">
        <w:t>Telecommunications Services’ or related products</w:t>
      </w:r>
      <w:r w:rsidRPr="00AA6921">
        <w:t>’ characteristics, price and intended use</w:t>
      </w:r>
      <w:r w:rsidRPr="00094F2C">
        <w:t xml:space="preserve">. A Relevant Market for the purposes of this Regulatory Policy shall be defined or determined by the TRA in accordance with Article </w:t>
      </w:r>
      <w:r w:rsidR="00053CAB">
        <w:t>4</w:t>
      </w:r>
      <w:r w:rsidRPr="00094F2C">
        <w:t xml:space="preserve"> of this Regulatory Policy.</w:t>
      </w:r>
    </w:p>
    <w:p w:rsidR="00FC4DF1" w:rsidRPr="00550F3E" w:rsidRDefault="00094F2C" w:rsidP="001F5F8E">
      <w:pPr>
        <w:pStyle w:val="Heading1"/>
        <w:rPr>
          <w:lang w:val="en-GB"/>
        </w:rPr>
      </w:pPr>
      <w:bookmarkStart w:id="10" w:name="_Toc246301431"/>
      <w:bookmarkStart w:id="11" w:name="_Toc250012699"/>
      <w:r w:rsidRPr="00094F2C">
        <w:rPr>
          <w:lang w:val="en-GB"/>
        </w:rPr>
        <w:t>Relevant Market</w:t>
      </w:r>
      <w:bookmarkEnd w:id="10"/>
      <w:bookmarkEnd w:id="11"/>
    </w:p>
    <w:p w:rsidR="00FC4DF1" w:rsidRPr="00550F3E" w:rsidRDefault="00094F2C" w:rsidP="001F5F8E">
      <w:pPr>
        <w:pStyle w:val="Heading2"/>
        <w:ind w:left="1418"/>
        <w:rPr>
          <w:b/>
          <w:bCs w:val="0"/>
          <w:lang w:val="en-GB"/>
        </w:rPr>
      </w:pPr>
      <w:r w:rsidRPr="00094F2C">
        <w:rPr>
          <w:bCs w:val="0"/>
          <w:lang w:val="en-GB"/>
        </w:rPr>
        <w:t>When defining a Relevant Market for the purposes of this Regulatory Policy, the TRA will take account of any factors that it considers relevant, which may include but are not limited to the following:</w:t>
      </w:r>
    </w:p>
    <w:p w:rsidR="001F5F8E" w:rsidRPr="00550F3E" w:rsidRDefault="00094F2C" w:rsidP="00CB78BE">
      <w:pPr>
        <w:pStyle w:val="Heading3"/>
        <w:rPr>
          <w:b/>
        </w:rPr>
      </w:pPr>
      <w:proofErr w:type="gramStart"/>
      <w:r w:rsidRPr="00094F2C">
        <w:t>the</w:t>
      </w:r>
      <w:proofErr w:type="gramEnd"/>
      <w:r w:rsidRPr="00094F2C">
        <w:t xml:space="preserve"> geographical boundaries of the market – the extent to which competitive conditions and constraints of that market are different across geographical areas; </w:t>
      </w:r>
    </w:p>
    <w:p w:rsidR="001F5F8E" w:rsidRPr="00550F3E" w:rsidRDefault="00094F2C" w:rsidP="00CB78BE">
      <w:pPr>
        <w:pStyle w:val="Heading3"/>
        <w:rPr>
          <w:b/>
        </w:rPr>
      </w:pPr>
      <w:r w:rsidRPr="00094F2C">
        <w:lastRenderedPageBreak/>
        <w:t>the functional level of the market – for example, whether the Telecommunications Services or related products are sold to retail customers or subscribers, or whether they are sold as an input to, or to be incorporated into another service or product, and if the latter, where in the relevant supply chain the Telecommunications Services or related products are likely to be traded;</w:t>
      </w:r>
    </w:p>
    <w:p w:rsidR="001F5F8E" w:rsidRPr="00550F3E" w:rsidRDefault="00094F2C" w:rsidP="00CB78BE">
      <w:pPr>
        <w:pStyle w:val="Heading3"/>
        <w:rPr>
          <w:b/>
        </w:rPr>
      </w:pPr>
      <w:proofErr w:type="gramStart"/>
      <w:r w:rsidRPr="00094F2C">
        <w:t>the</w:t>
      </w:r>
      <w:proofErr w:type="gramEnd"/>
      <w:r w:rsidRPr="00094F2C">
        <w:t xml:space="preserve"> type of customer that the market serves (for example whether the customer is a residential or business customer); and  </w:t>
      </w:r>
    </w:p>
    <w:p w:rsidR="001F5F8E" w:rsidRPr="00550F3E" w:rsidRDefault="00094F2C" w:rsidP="00CB78BE">
      <w:pPr>
        <w:pStyle w:val="Heading3"/>
        <w:rPr>
          <w:b/>
        </w:rPr>
      </w:pPr>
      <w:proofErr w:type="gramStart"/>
      <w:r w:rsidRPr="00094F2C">
        <w:t>the</w:t>
      </w:r>
      <w:proofErr w:type="gramEnd"/>
      <w:r w:rsidRPr="00094F2C">
        <w:t xml:space="preserve"> temporal limits of the market - the length of time over which a market is likely to exist.</w:t>
      </w:r>
    </w:p>
    <w:p w:rsidR="00EF4E2B" w:rsidRPr="00550F3E" w:rsidRDefault="00094F2C" w:rsidP="00AE5ABD">
      <w:pPr>
        <w:pStyle w:val="Heading2"/>
        <w:rPr>
          <w:lang w:val="en-GB"/>
        </w:rPr>
      </w:pPr>
      <w:r w:rsidRPr="00094F2C">
        <w:rPr>
          <w:lang w:val="en-GB"/>
        </w:rPr>
        <w:t>For the avoidance of doubt, for the purposes of this Regulatory Policy the TRA will define “Relevant Markets” on a case-by-case basis, and without regard to the use of that term for the purposes of other regulatory instruments. Further, a “Relevant Market” as defined or determined for the purposes of another regulatory instrument, will not be definitive as to how a “Relevant Market” is determined for the purposes of this Regulatory Policy. </w:t>
      </w:r>
    </w:p>
    <w:p w:rsidR="00FC4DF1" w:rsidRPr="00550F3E" w:rsidRDefault="00094F2C" w:rsidP="00247521">
      <w:pPr>
        <w:pStyle w:val="Heading1"/>
        <w:rPr>
          <w:lang w:val="en-GB"/>
        </w:rPr>
      </w:pPr>
      <w:bookmarkStart w:id="12" w:name="_Toc241827119"/>
      <w:bookmarkStart w:id="13" w:name="_Toc241894340"/>
      <w:bookmarkStart w:id="14" w:name="_Toc250012700"/>
      <w:r w:rsidRPr="00094F2C">
        <w:rPr>
          <w:lang w:val="en-GB"/>
        </w:rPr>
        <w:t>Anti-Competitive Agreements or Understandings</w:t>
      </w:r>
      <w:bookmarkEnd w:id="12"/>
      <w:bookmarkEnd w:id="13"/>
      <w:bookmarkEnd w:id="14"/>
    </w:p>
    <w:p w:rsidR="00445931" w:rsidRDefault="00094F2C">
      <w:pPr>
        <w:pStyle w:val="Heading2"/>
        <w:rPr>
          <w:lang w:val="en-GB"/>
        </w:rPr>
      </w:pPr>
      <w:bookmarkStart w:id="15" w:name="_Toc233339568"/>
      <w:bookmarkStart w:id="16" w:name="_Ref217287266"/>
      <w:bookmarkEnd w:id="15"/>
      <w:r w:rsidRPr="00094F2C">
        <w:rPr>
          <w:lang w:val="en-GB"/>
        </w:rPr>
        <w:t xml:space="preserve">No Entity shall enter into a formal or informal agreement or understanding with any party, where the objective or effect of such agreement or understanding is, or may be, to restrict, prevent, or distort competition in a Relevant Market. </w:t>
      </w:r>
    </w:p>
    <w:p w:rsidR="00FC4DF1" w:rsidRPr="00550F3E" w:rsidRDefault="00094F2C" w:rsidP="00AE5ABD">
      <w:pPr>
        <w:pStyle w:val="Heading2"/>
        <w:rPr>
          <w:lang w:val="en-GB"/>
        </w:rPr>
      </w:pPr>
      <w:r w:rsidRPr="00094F2C">
        <w:rPr>
          <w:lang w:val="en-GB"/>
        </w:rPr>
        <w:t xml:space="preserve">An agreement or understanding </w:t>
      </w:r>
      <w:bookmarkEnd w:id="16"/>
      <w:r w:rsidRPr="00094F2C">
        <w:rPr>
          <w:lang w:val="en-GB"/>
        </w:rPr>
        <w:t xml:space="preserve">which would contravene Article </w:t>
      </w:r>
      <w:r w:rsidR="00F07496">
        <w:rPr>
          <w:lang w:val="en-GB"/>
        </w:rPr>
        <w:t>5</w:t>
      </w:r>
      <w:r w:rsidRPr="00094F2C">
        <w:rPr>
          <w:lang w:val="en-GB"/>
        </w:rPr>
        <w:t>.1 includes, but is not limited to an agreement or understanding for the purpose of:</w:t>
      </w:r>
    </w:p>
    <w:p w:rsidR="00945ECD" w:rsidRPr="00550F3E" w:rsidRDefault="00094F2C" w:rsidP="00CB78BE">
      <w:pPr>
        <w:pStyle w:val="Heading3"/>
      </w:pPr>
      <w:r w:rsidRPr="00094F2C">
        <w:rPr>
          <w:b/>
        </w:rPr>
        <w:t>Price fixing</w:t>
      </w:r>
      <w:r w:rsidRPr="00094F2C">
        <w:t xml:space="preserve"> – directly or indirectly fixing prices or other purchase or sale conditions;</w:t>
      </w:r>
    </w:p>
    <w:p w:rsidR="007C10DD" w:rsidRPr="00550F3E" w:rsidRDefault="00094F2C" w:rsidP="00CB78BE">
      <w:pPr>
        <w:pStyle w:val="Heading3"/>
        <w:rPr>
          <w:b/>
        </w:rPr>
      </w:pPr>
      <w:r w:rsidRPr="00094F2C">
        <w:rPr>
          <w:b/>
        </w:rPr>
        <w:t>Market sharing</w:t>
      </w:r>
      <w:r w:rsidRPr="00094F2C">
        <w:t xml:space="preserve"> – sharing or allocating markets or sources of supply or otherwise agreeing, or reaching an understanding, not to compete in specific areas or provide products or services to customers or customer groups;</w:t>
      </w:r>
    </w:p>
    <w:p w:rsidR="002B6F36" w:rsidRPr="00550F3E" w:rsidRDefault="00094F2C" w:rsidP="00940FCC">
      <w:pPr>
        <w:pStyle w:val="Heading3"/>
        <w:rPr>
          <w:b/>
        </w:rPr>
      </w:pPr>
      <w:r w:rsidRPr="00094F2C">
        <w:rPr>
          <w:b/>
        </w:rPr>
        <w:lastRenderedPageBreak/>
        <w:t>Collusive supply</w:t>
      </w:r>
      <w:r w:rsidRPr="00094F2C">
        <w:t xml:space="preserve"> – directly or indirectly fixing the quantity or the quality of supply of products or services in a Relevant Market, and which by doing so does or may restrict, prevent, or distort  competition in that Relevant Market or another Relevant Market; and</w:t>
      </w:r>
    </w:p>
    <w:p w:rsidR="00973113" w:rsidRPr="00550F3E" w:rsidRDefault="00094F2C" w:rsidP="003E70B0">
      <w:pPr>
        <w:pStyle w:val="Heading3"/>
        <w:rPr>
          <w:b/>
        </w:rPr>
      </w:pPr>
      <w:r w:rsidRPr="00094F2C">
        <w:rPr>
          <w:b/>
        </w:rPr>
        <w:t>Exclusive dealing</w:t>
      </w:r>
      <w:r w:rsidRPr="00094F2C">
        <w:t xml:space="preserve"> – requiring a party to supply, purchase or distribute products or services on an exclusive basis, and which by doing so does or may restrict, prevent, or distort competition in a Relevant Market.</w:t>
      </w:r>
    </w:p>
    <w:p w:rsidR="00FC4DF1" w:rsidRPr="00550F3E" w:rsidRDefault="00094F2C" w:rsidP="00AE5ABD">
      <w:pPr>
        <w:pStyle w:val="Heading2"/>
        <w:rPr>
          <w:lang w:val="en-GB"/>
        </w:rPr>
      </w:pPr>
      <w:r w:rsidRPr="00094F2C">
        <w:rPr>
          <w:lang w:val="en-GB"/>
        </w:rPr>
        <w:t xml:space="preserve">It shall be a </w:t>
      </w:r>
      <w:r w:rsidRPr="00094F2C">
        <w:rPr>
          <w:i/>
          <w:iCs/>
          <w:lang w:val="en-GB"/>
        </w:rPr>
        <w:t>prima facie</w:t>
      </w:r>
      <w:r w:rsidRPr="00094F2C">
        <w:rPr>
          <w:b/>
          <w:i/>
          <w:iCs/>
          <w:lang w:val="en-GB"/>
        </w:rPr>
        <w:t xml:space="preserve"> </w:t>
      </w:r>
      <w:r w:rsidRPr="00094F2C">
        <w:rPr>
          <w:lang w:val="en-GB"/>
        </w:rPr>
        <w:t xml:space="preserve">but rebuttable presumption, that an agreement or understanding will not contravene Article </w:t>
      </w:r>
      <w:r w:rsidR="00F07496">
        <w:rPr>
          <w:lang w:val="en-GB"/>
        </w:rPr>
        <w:t>5</w:t>
      </w:r>
      <w:r w:rsidRPr="00094F2C">
        <w:rPr>
          <w:lang w:val="en-GB"/>
        </w:rPr>
        <w:t>.1, if the combined Market Share of all parties to the agreement or understanding does not exceed 15% in any of the Relevant Markets affected by the agreement or understanding.</w:t>
      </w:r>
    </w:p>
    <w:p w:rsidR="00FC4DF1" w:rsidRPr="00550F3E" w:rsidRDefault="00094F2C" w:rsidP="005E0035">
      <w:pPr>
        <w:pStyle w:val="Heading1"/>
        <w:rPr>
          <w:lang w:val="en-GB"/>
        </w:rPr>
      </w:pPr>
      <w:bookmarkStart w:id="17" w:name="_Toc241827120"/>
      <w:bookmarkStart w:id="18" w:name="_Toc241894341"/>
      <w:bookmarkStart w:id="19" w:name="_Toc250012701"/>
      <w:r w:rsidRPr="00094F2C">
        <w:rPr>
          <w:lang w:val="en-GB"/>
        </w:rPr>
        <w:t>Misuse of Market Power</w:t>
      </w:r>
      <w:bookmarkEnd w:id="17"/>
      <w:bookmarkEnd w:id="18"/>
      <w:bookmarkEnd w:id="19"/>
    </w:p>
    <w:p w:rsidR="00FC4DF1" w:rsidRPr="00550F3E" w:rsidRDefault="00094F2C" w:rsidP="00DC06A5">
      <w:pPr>
        <w:pStyle w:val="Heading2"/>
        <w:rPr>
          <w:lang w:val="en-GB"/>
        </w:rPr>
      </w:pPr>
      <w:r w:rsidRPr="00094F2C">
        <w:rPr>
          <w:lang w:val="en-GB"/>
        </w:rPr>
        <w:t>An Entity with Market Power in a Relevant Market shall not misuse its Market Power in a way which does or may restrict, prevent, or distort competition in that Relevant Market or any other Relevant Market.</w:t>
      </w:r>
    </w:p>
    <w:p w:rsidR="00FC4DF1" w:rsidRPr="00550F3E" w:rsidRDefault="00094F2C" w:rsidP="00AE5ABD">
      <w:pPr>
        <w:pStyle w:val="Heading2"/>
        <w:rPr>
          <w:lang w:val="en-GB"/>
        </w:rPr>
      </w:pPr>
      <w:r w:rsidRPr="00094F2C">
        <w:rPr>
          <w:lang w:val="en-GB"/>
        </w:rPr>
        <w:t>A misuse of Market Power includes, but is not limited to, the following:</w:t>
      </w:r>
    </w:p>
    <w:p w:rsidR="00323EAF" w:rsidRPr="00550F3E" w:rsidRDefault="00094F2C" w:rsidP="00CB78BE">
      <w:pPr>
        <w:pStyle w:val="Heading3"/>
        <w:rPr>
          <w:b/>
        </w:rPr>
      </w:pPr>
      <w:r w:rsidRPr="00094F2C">
        <w:rPr>
          <w:b/>
        </w:rPr>
        <w:t>Predatory pricing</w:t>
      </w:r>
      <w:r w:rsidRPr="00094F2C">
        <w:t xml:space="preserve"> – lowering the price of a product or service in a Relevant Market below its relevant costs, where there is a possibility for the relevant Entity to recoup the losses it incurred from lowering that price, and where such price cannot be matched by its competitors without incurring losses;</w:t>
      </w:r>
    </w:p>
    <w:p w:rsidR="00323EAF" w:rsidRPr="00550F3E" w:rsidRDefault="00094F2C" w:rsidP="00CB78BE">
      <w:pPr>
        <w:pStyle w:val="Heading3"/>
        <w:rPr>
          <w:b/>
        </w:rPr>
      </w:pPr>
      <w:r w:rsidRPr="00094F2C">
        <w:rPr>
          <w:b/>
        </w:rPr>
        <w:t>Unfair or excessive pricing</w:t>
      </w:r>
      <w:r w:rsidRPr="00094F2C">
        <w:t xml:space="preserve"> – setting the price of a product or service in a Relevant Market that is excessive in relation to the relevant costs of supply of that product or service;</w:t>
      </w:r>
    </w:p>
    <w:p w:rsidR="00323EAF" w:rsidRPr="00550F3E" w:rsidRDefault="00094F2C" w:rsidP="00CB78BE">
      <w:pPr>
        <w:pStyle w:val="Heading3"/>
        <w:rPr>
          <w:b/>
        </w:rPr>
      </w:pPr>
      <w:r w:rsidRPr="00094F2C">
        <w:rPr>
          <w:b/>
        </w:rPr>
        <w:t>Anti-competitive cross-subsidisation</w:t>
      </w:r>
      <w:r w:rsidRPr="00094F2C">
        <w:t xml:space="preserve"> – using revenues from a product or service offered in a Relevant Market to cross-subsidise the price of another product or service offered in a separate Relevant Market; </w:t>
      </w:r>
    </w:p>
    <w:p w:rsidR="00323EAF" w:rsidRPr="00550F3E" w:rsidRDefault="00094F2C" w:rsidP="00AE5ABD">
      <w:pPr>
        <w:pStyle w:val="Heading3"/>
        <w:rPr>
          <w:b/>
        </w:rPr>
      </w:pPr>
      <w:r w:rsidRPr="00094F2C">
        <w:rPr>
          <w:b/>
        </w:rPr>
        <w:t>Margin squeeze</w:t>
      </w:r>
      <w:r w:rsidRPr="00094F2C">
        <w:t xml:space="preserve"> – a situation in which an Entity which supplies an essential input (as determined by the TRA) to a Telecommunications Service or related product in a Relevant </w:t>
      </w:r>
      <w:r w:rsidRPr="00094F2C">
        <w:lastRenderedPageBreak/>
        <w:t xml:space="preserve">Market to competitors of the relevant Entity in the Relevant Market, either raises the costs of the input, or reduces its price for </w:t>
      </w:r>
      <w:r w:rsidR="00BE0B79">
        <w:t xml:space="preserve">a </w:t>
      </w:r>
      <w:r w:rsidRPr="00094F2C">
        <w:t>Telecommunications Service or related product in the Relevant Market, to prevent those competitors from making a reasonable level of profit in the Relevant Market;</w:t>
      </w:r>
    </w:p>
    <w:p w:rsidR="00323EAF" w:rsidRPr="00550F3E" w:rsidRDefault="00094F2C" w:rsidP="00CB78BE">
      <w:pPr>
        <w:pStyle w:val="Heading3"/>
        <w:rPr>
          <w:b/>
        </w:rPr>
      </w:pPr>
      <w:r w:rsidRPr="00094F2C">
        <w:rPr>
          <w:b/>
        </w:rPr>
        <w:t>Anti-competitive bundling or tying</w:t>
      </w:r>
      <w:r w:rsidRPr="00094F2C">
        <w:t xml:space="preserve"> – bundling or tying products or services offered in Relevant Markets, and which by doing so does or may restrict, prevent, or distort competition in one or more of those  Relevant Markets or another Relevant Market;</w:t>
      </w:r>
    </w:p>
    <w:p w:rsidR="00323EAF" w:rsidRPr="00550F3E" w:rsidRDefault="00094F2C" w:rsidP="00CB78BE">
      <w:pPr>
        <w:pStyle w:val="Heading3"/>
        <w:rPr>
          <w:b/>
        </w:rPr>
      </w:pPr>
      <w:r w:rsidRPr="00094F2C">
        <w:rPr>
          <w:b/>
        </w:rPr>
        <w:t>Anti-competitive refusal to supply</w:t>
      </w:r>
      <w:r w:rsidRPr="00094F2C">
        <w:t xml:space="preserve"> – refusing or discontinuing the provision of a product, service or resource (including rights of way) to a competitor in a Relevant Market which, due to the difficulty of replicating such a product, service or resource, depends upon that product, service or resource to provide a product or service of its own in that Relevant market; </w:t>
      </w:r>
    </w:p>
    <w:p w:rsidR="00945ECD" w:rsidRPr="00550F3E" w:rsidRDefault="00094F2C" w:rsidP="00CB78BE">
      <w:pPr>
        <w:pStyle w:val="Heading3"/>
        <w:rPr>
          <w:b/>
        </w:rPr>
      </w:pPr>
      <w:r w:rsidRPr="00094F2C">
        <w:rPr>
          <w:b/>
        </w:rPr>
        <w:t>Degradation of service</w:t>
      </w:r>
      <w:r w:rsidRPr="00094F2C">
        <w:t xml:space="preserve"> – degrading or inducing another party to degrade the availability or quality of a competitor’s product or service without a legitimate justification (as determined by the TRA) and which by doing so does or may restrict, prevent, or distort competition in a Relevant Market; </w:t>
      </w:r>
    </w:p>
    <w:p w:rsidR="000706F8" w:rsidRPr="00550F3E" w:rsidRDefault="00094F2C" w:rsidP="00CB78BE">
      <w:pPr>
        <w:pStyle w:val="Heading3"/>
        <w:rPr>
          <w:b/>
        </w:rPr>
      </w:pPr>
      <w:r w:rsidRPr="00094F2C">
        <w:rPr>
          <w:b/>
        </w:rPr>
        <w:t>Discrimination against competitors</w:t>
      </w:r>
      <w:r w:rsidRPr="00094F2C">
        <w:t xml:space="preserve"> – failing to supply products or services to competitors under the same conditions and of the same quality as an Entity provides the product or service to its affiliates, subsidiaries or other companies, and which by doing so does or may restrict, prevent, or distort competition in a Relevant Market;</w:t>
      </w:r>
    </w:p>
    <w:p w:rsidR="00945ECD" w:rsidRPr="00550F3E" w:rsidRDefault="00094F2C" w:rsidP="00CB78BE">
      <w:pPr>
        <w:pStyle w:val="Heading3"/>
        <w:rPr>
          <w:b/>
        </w:rPr>
      </w:pPr>
      <w:r w:rsidRPr="00094F2C">
        <w:rPr>
          <w:b/>
        </w:rPr>
        <w:t>Anti-competitive customer lock-in</w:t>
      </w:r>
      <w:r w:rsidRPr="00094F2C">
        <w:t xml:space="preserve"> - locking-in customers through unduly long-term contracts, and which by doing so does or may restrict, prevent, or distort competition in a Relevant Market;</w:t>
      </w:r>
    </w:p>
    <w:p w:rsidR="00944A2D" w:rsidRPr="00550F3E" w:rsidRDefault="00094F2C" w:rsidP="00CB78BE">
      <w:pPr>
        <w:pStyle w:val="Heading3"/>
        <w:rPr>
          <w:b/>
        </w:rPr>
      </w:pPr>
      <w:r w:rsidRPr="00094F2C">
        <w:rPr>
          <w:b/>
        </w:rPr>
        <w:t>Anti-competitive rebates</w:t>
      </w:r>
      <w:r w:rsidRPr="00094F2C">
        <w:t xml:space="preserve"> - setting rebates or discount schemes for customers in a manner which reinforces loyalty to an Entity, and which by doing so does or may restrict, prevent, or distort competition in a Relevant Market; and</w:t>
      </w:r>
    </w:p>
    <w:p w:rsidR="0082597A" w:rsidRPr="00550F3E" w:rsidRDefault="00094F2C" w:rsidP="00CB78BE">
      <w:pPr>
        <w:pStyle w:val="Heading3"/>
        <w:rPr>
          <w:b/>
        </w:rPr>
      </w:pPr>
      <w:r w:rsidRPr="00094F2C">
        <w:rPr>
          <w:b/>
        </w:rPr>
        <w:t>Misuse of information</w:t>
      </w:r>
      <w:r w:rsidRPr="00094F2C">
        <w:t xml:space="preserve"> – the usage or disclosure of information obtained in connection with the provision of a </w:t>
      </w:r>
      <w:r w:rsidRPr="00094F2C">
        <w:lastRenderedPageBreak/>
        <w:t>product or service for a purpose other than that for which it was initially provided.</w:t>
      </w:r>
    </w:p>
    <w:p w:rsidR="00FC4DF1" w:rsidRPr="00550F3E" w:rsidRDefault="00094F2C" w:rsidP="00AE5ABD">
      <w:pPr>
        <w:pStyle w:val="Heading2"/>
        <w:rPr>
          <w:lang w:val="en-GB"/>
        </w:rPr>
      </w:pPr>
      <w:r w:rsidRPr="00094F2C">
        <w:rPr>
          <w:lang w:val="en-GB"/>
        </w:rPr>
        <w:t xml:space="preserve">For the purposes of this Regulatory Policy, it shall be a </w:t>
      </w:r>
      <w:r w:rsidRPr="00094F2C">
        <w:rPr>
          <w:i/>
          <w:iCs/>
          <w:lang w:val="en-GB"/>
        </w:rPr>
        <w:t>prima facie</w:t>
      </w:r>
      <w:r w:rsidRPr="00094F2C">
        <w:rPr>
          <w:lang w:val="en-GB"/>
        </w:rPr>
        <w:t xml:space="preserve"> but rebuttable presumption, that an Entity does not have Market Power in a Relevant Market if its Market Share does not exceed 40% in the Relevant Market.</w:t>
      </w:r>
    </w:p>
    <w:p w:rsidR="00FC4DF1" w:rsidRPr="00550F3E" w:rsidRDefault="00094F2C" w:rsidP="00AA72DB">
      <w:pPr>
        <w:pStyle w:val="Heading2"/>
        <w:rPr>
          <w:b/>
          <w:lang w:val="en-GB"/>
        </w:rPr>
      </w:pPr>
      <w:r w:rsidRPr="00094F2C">
        <w:rPr>
          <w:lang w:val="en-GB"/>
        </w:rPr>
        <w:t xml:space="preserve">For the avoidance of doubt, a determination of finding by the TRA that an Entity has Market Power in a Relevant Market, will not be a determination of finding that the Entity has Market Power in any other market, nor shall it be a determination of finding that the Entity has Market Power for the purposes of any other regulatory instrument. </w:t>
      </w:r>
    </w:p>
    <w:p w:rsidR="00206940" w:rsidRPr="00550F3E" w:rsidRDefault="00094F2C" w:rsidP="00206940">
      <w:pPr>
        <w:pStyle w:val="Heading1"/>
        <w:suppressAutoHyphens/>
        <w:rPr>
          <w:lang w:val="en-GB"/>
        </w:rPr>
      </w:pPr>
      <w:bookmarkStart w:id="20" w:name="_Toc226183822"/>
      <w:bookmarkStart w:id="21" w:name="_Toc226183823"/>
      <w:bookmarkStart w:id="22" w:name="_Toc226183824"/>
      <w:bookmarkStart w:id="23" w:name="_Toc226183825"/>
      <w:bookmarkStart w:id="24" w:name="_Toc250012702"/>
      <w:bookmarkStart w:id="25" w:name="_Toc188943786"/>
      <w:bookmarkStart w:id="26" w:name="_Toc241827122"/>
      <w:bookmarkStart w:id="27" w:name="_Toc241894343"/>
      <w:bookmarkStart w:id="28" w:name="_Toc188784311"/>
      <w:bookmarkEnd w:id="20"/>
      <w:bookmarkEnd w:id="21"/>
      <w:bookmarkEnd w:id="22"/>
      <w:bookmarkEnd w:id="23"/>
      <w:r w:rsidRPr="00094F2C">
        <w:rPr>
          <w:lang w:val="en-GB"/>
        </w:rPr>
        <w:t>Exemptions</w:t>
      </w:r>
      <w:bookmarkEnd w:id="24"/>
    </w:p>
    <w:p w:rsidR="00206940" w:rsidRPr="00550F3E" w:rsidRDefault="00094F2C" w:rsidP="00206940">
      <w:pPr>
        <w:pStyle w:val="Heading2"/>
        <w:rPr>
          <w:b/>
          <w:lang w:val="en-GB"/>
        </w:rPr>
      </w:pPr>
      <w:r w:rsidRPr="00094F2C">
        <w:rPr>
          <w:lang w:val="en-GB"/>
        </w:rPr>
        <w:t xml:space="preserve">The TRA may, at its discretion, decide for the public benefit, to exempt certain agreements or understandings or classes of agreements or understandings from the prohibitions in Article </w:t>
      </w:r>
      <w:r w:rsidR="00F07496">
        <w:rPr>
          <w:lang w:val="en-GB"/>
        </w:rPr>
        <w:t>5</w:t>
      </w:r>
      <w:r w:rsidRPr="00094F2C">
        <w:rPr>
          <w:lang w:val="en-GB"/>
        </w:rPr>
        <w:t xml:space="preserve">.1 or specific incidents of behaviour from the prohibitions in Article </w:t>
      </w:r>
      <w:r w:rsidR="00F07496">
        <w:rPr>
          <w:lang w:val="en-GB"/>
        </w:rPr>
        <w:t>6</w:t>
      </w:r>
      <w:r w:rsidRPr="00094F2C">
        <w:rPr>
          <w:lang w:val="en-GB"/>
        </w:rPr>
        <w:t xml:space="preserve">.1. The factors which the TRA may consider in assessing whether or not to make such exemptions, include, but are not limited to, the following: </w:t>
      </w:r>
    </w:p>
    <w:p w:rsidR="00206940" w:rsidRPr="00550F3E" w:rsidRDefault="00094F2C" w:rsidP="00206940">
      <w:pPr>
        <w:pStyle w:val="Heading3"/>
        <w:rPr>
          <w:b/>
        </w:rPr>
      </w:pPr>
      <w:proofErr w:type="gramStart"/>
      <w:r w:rsidRPr="00094F2C">
        <w:t>whether</w:t>
      </w:r>
      <w:proofErr w:type="gramEnd"/>
      <w:r w:rsidRPr="00094F2C">
        <w:t xml:space="preserve"> the overall economic development of the UAE (or a part of it) may be enhanced by granting the exemption;</w:t>
      </w:r>
    </w:p>
    <w:p w:rsidR="00206940" w:rsidRPr="00550F3E" w:rsidRDefault="00094F2C" w:rsidP="00206940">
      <w:pPr>
        <w:pStyle w:val="Heading3"/>
        <w:rPr>
          <w:b/>
        </w:rPr>
      </w:pPr>
      <w:proofErr w:type="gramStart"/>
      <w:r w:rsidRPr="00094F2C">
        <w:t>whether</w:t>
      </w:r>
      <w:proofErr w:type="gramEnd"/>
      <w:r w:rsidRPr="00094F2C">
        <w:t xml:space="preserve"> performance and competitive capacities in the telecommunications or related sectors of the economy may be achieved or enhanced by granting the exemption;</w:t>
      </w:r>
    </w:p>
    <w:p w:rsidR="00206940" w:rsidRPr="00550F3E" w:rsidRDefault="00094F2C" w:rsidP="00206940">
      <w:pPr>
        <w:pStyle w:val="Heading3"/>
        <w:rPr>
          <w:b/>
        </w:rPr>
      </w:pPr>
      <w:proofErr w:type="gramStart"/>
      <w:r w:rsidRPr="00094F2C">
        <w:t>whether</w:t>
      </w:r>
      <w:proofErr w:type="gramEnd"/>
      <w:r w:rsidRPr="00094F2C">
        <w:t xml:space="preserve"> the overall development of production or distribution systems in the telecommunications or related sectors of the economy may be enhanced by granting the exemption; and</w:t>
      </w:r>
    </w:p>
    <w:p w:rsidR="00206940" w:rsidRPr="00550F3E" w:rsidRDefault="00094F2C" w:rsidP="00206940">
      <w:pPr>
        <w:pStyle w:val="Heading3"/>
        <w:rPr>
          <w:b/>
        </w:rPr>
      </w:pPr>
      <w:proofErr w:type="gramStart"/>
      <w:r w:rsidRPr="00094F2C">
        <w:t>whether</w:t>
      </w:r>
      <w:proofErr w:type="gramEnd"/>
      <w:r w:rsidRPr="00094F2C">
        <w:t xml:space="preserve"> specific consumer benefits may be achieved or enhanced by granting the exemption.</w:t>
      </w:r>
    </w:p>
    <w:p w:rsidR="00FC4DF1" w:rsidRPr="00550F3E" w:rsidRDefault="00094F2C" w:rsidP="005E0035">
      <w:pPr>
        <w:pStyle w:val="Heading1"/>
        <w:suppressAutoHyphens/>
        <w:rPr>
          <w:lang w:val="en-GB"/>
        </w:rPr>
      </w:pPr>
      <w:bookmarkStart w:id="29" w:name="_Toc250012703"/>
      <w:r w:rsidRPr="00094F2C">
        <w:rPr>
          <w:lang w:val="en-GB"/>
        </w:rPr>
        <w:t>Effective Date</w:t>
      </w:r>
      <w:bookmarkEnd w:id="25"/>
      <w:bookmarkEnd w:id="26"/>
      <w:bookmarkEnd w:id="27"/>
      <w:bookmarkEnd w:id="29"/>
    </w:p>
    <w:p w:rsidR="004A50AE" w:rsidRPr="00550F3E" w:rsidRDefault="00094F2C" w:rsidP="00DC06A5">
      <w:pPr>
        <w:suppressAutoHyphens/>
        <w:ind w:left="720"/>
      </w:pPr>
      <w:r w:rsidRPr="00094F2C">
        <w:t>This Regulatory Policy shall take effect on the date of issue.</w:t>
      </w:r>
      <w:bookmarkEnd w:id="28"/>
    </w:p>
    <w:sectPr w:rsidR="004A50AE" w:rsidRPr="00550F3E" w:rsidSect="00823FD0">
      <w:headerReference w:type="default" r:id="rId10"/>
      <w:footerReference w:type="default" r:id="rId11"/>
      <w:headerReference w:type="first" r:id="rId12"/>
      <w:footerReference w:type="first" r:id="rId13"/>
      <w:pgSz w:w="11909" w:h="16834" w:code="9"/>
      <w:pgMar w:top="1354" w:right="1296" w:bottom="1300" w:left="1440" w:header="283" w:footer="4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FD0" w:rsidRDefault="00823FD0">
      <w:r>
        <w:separator/>
      </w:r>
    </w:p>
  </w:endnote>
  <w:endnote w:type="continuationSeparator" w:id="1">
    <w:p w:rsidR="00823FD0" w:rsidRDefault="00823FD0">
      <w:r>
        <w:continuationSeparator/>
      </w:r>
    </w:p>
  </w:endnote>
</w:endnotes>
</file>

<file path=word/fontTable.xml><?xml version="1.0" encoding="utf-8"?>
<w:fonts xmlns:r="http://schemas.openxmlformats.org/officeDocument/2006/relationships" xmlns:w="http://schemas.openxmlformats.org/wordprocessingml/2006/main">
  <w:font w:name="Arial Bold">
    <w:altName w:val="Arial"/>
    <w:panose1 w:val="020B070402020202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00469"/>
      <w:docPartObj>
        <w:docPartGallery w:val="Page Numbers (Bottom of Page)"/>
        <w:docPartUnique/>
      </w:docPartObj>
    </w:sdtPr>
    <w:sdtContent>
      <w:sdt>
        <w:sdtPr>
          <w:id w:val="565050477"/>
          <w:docPartObj>
            <w:docPartGallery w:val="Page Numbers (Top of Page)"/>
            <w:docPartUnique/>
          </w:docPartObj>
        </w:sdtPr>
        <w:sdtContent>
          <w:p w:rsidR="00823FD0" w:rsidRDefault="00823FD0">
            <w:pPr>
              <w:pStyle w:val="Footer"/>
              <w:jc w:val="center"/>
            </w:pPr>
            <w:r w:rsidRPr="00823FD0">
              <w:rPr>
                <w:sz w:val="18"/>
                <w:szCs w:val="18"/>
              </w:rPr>
              <w:t xml:space="preserve">Page </w:t>
            </w:r>
            <w:r w:rsidRPr="00823FD0">
              <w:rPr>
                <w:sz w:val="18"/>
                <w:szCs w:val="18"/>
              </w:rPr>
              <w:fldChar w:fldCharType="begin"/>
            </w:r>
            <w:r w:rsidRPr="00823FD0">
              <w:rPr>
                <w:sz w:val="18"/>
                <w:szCs w:val="18"/>
              </w:rPr>
              <w:instrText xml:space="preserve"> PAGE </w:instrText>
            </w:r>
            <w:r w:rsidRPr="00823FD0">
              <w:rPr>
                <w:sz w:val="18"/>
                <w:szCs w:val="18"/>
              </w:rPr>
              <w:fldChar w:fldCharType="separate"/>
            </w:r>
            <w:r w:rsidR="00FE6116">
              <w:rPr>
                <w:noProof/>
                <w:sz w:val="18"/>
                <w:szCs w:val="18"/>
              </w:rPr>
              <w:t>2</w:t>
            </w:r>
            <w:r w:rsidRPr="00823FD0">
              <w:rPr>
                <w:sz w:val="18"/>
                <w:szCs w:val="18"/>
              </w:rPr>
              <w:fldChar w:fldCharType="end"/>
            </w:r>
            <w:r w:rsidRPr="00823FD0">
              <w:rPr>
                <w:sz w:val="18"/>
                <w:szCs w:val="18"/>
              </w:rPr>
              <w:t xml:space="preserve"> of </w:t>
            </w:r>
            <w:r w:rsidRPr="00823FD0">
              <w:rPr>
                <w:sz w:val="18"/>
                <w:szCs w:val="18"/>
              </w:rPr>
              <w:fldChar w:fldCharType="begin"/>
            </w:r>
            <w:r w:rsidRPr="00823FD0">
              <w:rPr>
                <w:sz w:val="18"/>
                <w:szCs w:val="18"/>
              </w:rPr>
              <w:instrText xml:space="preserve"> NUMPAGES  </w:instrText>
            </w:r>
            <w:r w:rsidRPr="00823FD0">
              <w:rPr>
                <w:sz w:val="18"/>
                <w:szCs w:val="18"/>
              </w:rPr>
              <w:fldChar w:fldCharType="separate"/>
            </w:r>
            <w:r w:rsidR="00FE6116">
              <w:rPr>
                <w:noProof/>
                <w:sz w:val="18"/>
                <w:szCs w:val="18"/>
              </w:rPr>
              <w:t>10</w:t>
            </w:r>
            <w:r w:rsidRPr="00823FD0">
              <w:rPr>
                <w:sz w:val="18"/>
                <w:szCs w:val="18"/>
              </w:rPr>
              <w:fldChar w:fldCharType="end"/>
            </w:r>
          </w:p>
        </w:sdtContent>
      </w:sdt>
    </w:sdtContent>
  </w:sdt>
  <w:p w:rsidR="00823FD0" w:rsidRDefault="00823FD0" w:rsidP="00435B8E">
    <w:pPr>
      <w:pStyle w:val="Footer"/>
      <w:tabs>
        <w:tab w:val="clear" w:pos="4320"/>
        <w:tab w:val="clear" w:pos="8640"/>
        <w:tab w:val="right" w:pos="91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D0" w:rsidRPr="005C39F7" w:rsidRDefault="00823FD0" w:rsidP="00C71CD1">
    <w:pPr>
      <w:pStyle w:val="Footer"/>
      <w:tabs>
        <w:tab w:val="clear" w:pos="4320"/>
        <w:tab w:val="clear" w:pos="8640"/>
        <w:tab w:val="right" w:pos="9180"/>
      </w:tabs>
      <w:spacing w:before="0" w:after="0"/>
      <w:rPr>
        <w:sz w:val="18"/>
        <w:szCs w:val="18"/>
      </w:rPr>
    </w:pPr>
    <w:r w:rsidRPr="00823FD0">
      <w:rPr>
        <w:sz w:val="18"/>
        <w:szCs w:val="18"/>
      </w:rPr>
      <w:drawing>
        <wp:anchor distT="0" distB="0" distL="114300" distR="114300" simplePos="0" relativeHeight="251663360" behindDoc="0" locked="0" layoutInCell="1" allowOverlap="1">
          <wp:simplePos x="0" y="0"/>
          <wp:positionH relativeFrom="column">
            <wp:posOffset>-895350</wp:posOffset>
          </wp:positionH>
          <wp:positionV relativeFrom="paragraph">
            <wp:posOffset>-468290</wp:posOffset>
          </wp:positionV>
          <wp:extent cx="7498665" cy="887239"/>
          <wp:effectExtent l="19050" t="0" r="5715" b="0"/>
          <wp:wrapSquare wrapText="bothSides"/>
          <wp:docPr id="7" name="Picture 0"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499985" cy="88709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FD0" w:rsidRDefault="00823FD0">
      <w:r>
        <w:separator/>
      </w:r>
    </w:p>
  </w:footnote>
  <w:footnote w:type="continuationSeparator" w:id="1">
    <w:p w:rsidR="00823FD0" w:rsidRDefault="00823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8" w:type="dxa"/>
      <w:tblLook w:val="0000"/>
    </w:tblPr>
    <w:tblGrid>
      <w:gridCol w:w="6948"/>
      <w:gridCol w:w="2340"/>
    </w:tblGrid>
    <w:tr w:rsidR="00823FD0">
      <w:trPr>
        <w:trHeight w:val="1119"/>
      </w:trPr>
      <w:tc>
        <w:tcPr>
          <w:tcW w:w="6948" w:type="dxa"/>
        </w:tcPr>
        <w:p w:rsidR="00823FD0" w:rsidRPr="008B17B4" w:rsidRDefault="00823FD0" w:rsidP="00FC4DF1">
          <w:pPr>
            <w:spacing w:before="0" w:after="0"/>
            <w:rPr>
              <w:b/>
              <w:bCs/>
              <w:sz w:val="18"/>
              <w:szCs w:val="18"/>
            </w:rPr>
          </w:pPr>
          <w:r w:rsidRPr="00823FD0">
            <w:rPr>
              <w:b/>
              <w:bCs/>
              <w:sz w:val="18"/>
              <w:szCs w:val="18"/>
            </w:rPr>
            <w:drawing>
              <wp:anchor distT="0" distB="0" distL="114300" distR="114300" simplePos="0" relativeHeight="251661312" behindDoc="0" locked="0" layoutInCell="1" allowOverlap="1">
                <wp:simplePos x="0" y="0"/>
                <wp:positionH relativeFrom="margin">
                  <wp:posOffset>-929856</wp:posOffset>
                </wp:positionH>
                <wp:positionV relativeFrom="margin">
                  <wp:posOffset>-84814</wp:posOffset>
                </wp:positionV>
                <wp:extent cx="7580187" cy="1216324"/>
                <wp:effectExtent l="19050" t="0" r="1713" b="0"/>
                <wp:wrapNone/>
                <wp:docPr id="6"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85710" cy="1217210"/>
                        </a:xfrm>
                        <a:prstGeom prst="rect">
                          <a:avLst/>
                        </a:prstGeom>
                      </pic:spPr>
                    </pic:pic>
                  </a:graphicData>
                </a:graphic>
              </wp:anchor>
            </w:drawing>
          </w:r>
        </w:p>
      </w:tc>
      <w:tc>
        <w:tcPr>
          <w:tcW w:w="2340" w:type="dxa"/>
        </w:tcPr>
        <w:p w:rsidR="00823FD0" w:rsidRDefault="00823FD0" w:rsidP="00823FD0">
          <w:pPr>
            <w:pStyle w:val="Header"/>
          </w:pPr>
        </w:p>
      </w:tc>
    </w:tr>
  </w:tbl>
  <w:p w:rsidR="00FE6116" w:rsidRDefault="00FE6116" w:rsidP="00FE6116">
    <w:pPr>
      <w:tabs>
        <w:tab w:val="left" w:pos="4860"/>
      </w:tabs>
      <w:spacing w:before="0" w:after="0"/>
      <w:ind w:right="1746"/>
      <w:rPr>
        <w:b/>
        <w:bCs/>
        <w:sz w:val="18"/>
        <w:szCs w:val="18"/>
      </w:rPr>
    </w:pPr>
  </w:p>
  <w:p w:rsidR="00FE6116" w:rsidRDefault="00FE6116" w:rsidP="00FE6116">
    <w:pPr>
      <w:tabs>
        <w:tab w:val="left" w:pos="4860"/>
      </w:tabs>
      <w:spacing w:before="0" w:after="0"/>
      <w:ind w:right="1746"/>
      <w:rPr>
        <w:b/>
        <w:bCs/>
        <w:sz w:val="18"/>
        <w:szCs w:val="18"/>
      </w:rPr>
    </w:pPr>
  </w:p>
  <w:p w:rsidR="00FE6116" w:rsidRDefault="00FE6116" w:rsidP="00FE6116">
    <w:pPr>
      <w:tabs>
        <w:tab w:val="left" w:pos="4860"/>
      </w:tabs>
      <w:spacing w:before="0" w:after="0"/>
      <w:ind w:right="1746"/>
      <w:rPr>
        <w:b/>
        <w:bCs/>
        <w:sz w:val="18"/>
        <w:szCs w:val="18"/>
      </w:rPr>
    </w:pPr>
  </w:p>
  <w:p w:rsidR="00FE6116" w:rsidRPr="0025008B" w:rsidRDefault="00FE6116" w:rsidP="00FE6116">
    <w:pPr>
      <w:tabs>
        <w:tab w:val="left" w:pos="4860"/>
      </w:tabs>
      <w:spacing w:before="0" w:after="0"/>
      <w:ind w:right="1746"/>
      <w:rPr>
        <w:b/>
        <w:bCs/>
        <w:sz w:val="18"/>
        <w:szCs w:val="18"/>
      </w:rPr>
    </w:pPr>
    <w:r>
      <w:rPr>
        <w:b/>
        <w:bCs/>
        <w:sz w:val="18"/>
        <w:szCs w:val="18"/>
      </w:rPr>
      <w:t>Regulatory Policy, Competition Safeguards</w:t>
    </w:r>
    <w:r w:rsidRPr="00B11619">
      <w:rPr>
        <w:b/>
        <w:bCs/>
        <w:sz w:val="18"/>
        <w:szCs w:val="18"/>
      </w:rPr>
      <w:t xml:space="preserve">, </w:t>
    </w:r>
  </w:p>
  <w:p w:rsidR="00FE6116" w:rsidRDefault="00FE6116" w:rsidP="00FE6116">
    <w:pPr>
      <w:tabs>
        <w:tab w:val="left" w:pos="4860"/>
      </w:tabs>
      <w:spacing w:before="0" w:after="0"/>
      <w:ind w:right="1746"/>
      <w:rPr>
        <w:b/>
        <w:bCs/>
        <w:sz w:val="18"/>
        <w:szCs w:val="18"/>
      </w:rPr>
    </w:pPr>
    <w:r w:rsidRPr="0025008B">
      <w:rPr>
        <w:b/>
        <w:bCs/>
        <w:sz w:val="18"/>
        <w:szCs w:val="18"/>
      </w:rPr>
      <w:t>Version 1.</w:t>
    </w:r>
    <w:r>
      <w:rPr>
        <w:b/>
        <w:bCs/>
        <w:sz w:val="18"/>
        <w:szCs w:val="18"/>
      </w:rPr>
      <w:t>1</w:t>
    </w:r>
    <w:r w:rsidRPr="0025008B">
      <w:rPr>
        <w:b/>
        <w:bCs/>
        <w:sz w:val="18"/>
        <w:szCs w:val="18"/>
      </w:rPr>
      <w:t xml:space="preserve"> - </w:t>
    </w:r>
    <w:r>
      <w:rPr>
        <w:b/>
        <w:bCs/>
        <w:sz w:val="18"/>
        <w:szCs w:val="18"/>
      </w:rPr>
      <w:t>30</w:t>
    </w:r>
    <w:r w:rsidRPr="0025008B">
      <w:rPr>
        <w:b/>
        <w:bCs/>
        <w:sz w:val="18"/>
        <w:szCs w:val="18"/>
      </w:rPr>
      <w:t xml:space="preserve"> September</w:t>
    </w:r>
    <w:r>
      <w:rPr>
        <w:b/>
        <w:bCs/>
        <w:sz w:val="18"/>
        <w:szCs w:val="18"/>
      </w:rPr>
      <w:t xml:space="preserve"> </w:t>
    </w:r>
    <w:r w:rsidRPr="0025008B">
      <w:rPr>
        <w:b/>
        <w:bCs/>
        <w:sz w:val="18"/>
        <w:szCs w:val="18"/>
      </w:rPr>
      <w:t>20</w:t>
    </w:r>
    <w:r>
      <w:rPr>
        <w:b/>
        <w:bCs/>
        <w:sz w:val="18"/>
        <w:szCs w:val="18"/>
      </w:rPr>
      <w:t>10</w:t>
    </w:r>
  </w:p>
  <w:p w:rsidR="00FE6116" w:rsidRPr="0025008B" w:rsidRDefault="00FE6116" w:rsidP="00FE6116">
    <w:pPr>
      <w:tabs>
        <w:tab w:val="left" w:pos="4860"/>
      </w:tabs>
      <w:spacing w:before="0" w:after="0"/>
      <w:ind w:right="1746"/>
      <w:rPr>
        <w:b/>
        <w:bCs/>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D0" w:rsidRPr="007E54F2" w:rsidRDefault="00823FD0" w:rsidP="00823FD0">
    <w:pPr>
      <w:pStyle w:val="Header"/>
    </w:pPr>
  </w:p>
  <w:p w:rsidR="00823FD0" w:rsidRPr="007E54F2" w:rsidRDefault="00823FD0" w:rsidP="00823FD0">
    <w:pPr>
      <w:pStyle w:val="Header"/>
    </w:pPr>
  </w:p>
  <w:p w:rsidR="00823FD0" w:rsidRDefault="00823FD0" w:rsidP="00823FD0">
    <w:pPr>
      <w:pStyle w:val="Header"/>
    </w:pPr>
  </w:p>
  <w:p w:rsidR="00823FD0" w:rsidRPr="007E54F2" w:rsidRDefault="00823FD0" w:rsidP="00823FD0">
    <w:pPr>
      <w:pStyle w:val="Header"/>
    </w:pPr>
  </w:p>
  <w:p w:rsidR="00823FD0" w:rsidRPr="007E54F2" w:rsidRDefault="00823FD0" w:rsidP="00823FD0">
    <w:pPr>
      <w:pStyle w:val="Header"/>
    </w:pPr>
    <w:r w:rsidRPr="00823FD0">
      <w:rPr>
        <w:noProof/>
        <w:lang w:val="en-US"/>
      </w:rPr>
      <w:drawing>
        <wp:anchor distT="0" distB="0" distL="114300" distR="114300" simplePos="0" relativeHeight="251659264" behindDoc="0" locked="0" layoutInCell="1" allowOverlap="1">
          <wp:simplePos x="0" y="0"/>
          <wp:positionH relativeFrom="margin">
            <wp:posOffset>-931564</wp:posOffset>
          </wp:positionH>
          <wp:positionV relativeFrom="margin">
            <wp:posOffset>-1584451</wp:posOffset>
          </wp:positionV>
          <wp:extent cx="7585861" cy="1439501"/>
          <wp:effectExtent l="19050" t="0" r="0" b="0"/>
          <wp:wrapSquare wrapText="bothSides"/>
          <wp:docPr id="4"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83170" cy="143891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1E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F2065A0"/>
    <w:multiLevelType w:val="multilevel"/>
    <w:tmpl w:val="31422052"/>
    <w:lvl w:ilvl="0">
      <w:start w:val="1"/>
      <w:numFmt w:val="decimal"/>
      <w:pStyle w:val="Heading1"/>
      <w:lvlText w:val="%1."/>
      <w:lvlJc w:val="left"/>
      <w:pPr>
        <w:tabs>
          <w:tab w:val="num" w:pos="720"/>
        </w:tabs>
        <w:ind w:left="720" w:hanging="720"/>
      </w:pPr>
      <w:rPr>
        <w:rFonts w:ascii="Arial Bold" w:hAnsi="Arial Bold" w:hint="default"/>
        <w:b/>
        <w:i w:val="0"/>
        <w:caps w:val="0"/>
        <w:strike w:val="0"/>
        <w:dstrike w:val="0"/>
        <w:shadow w:val="0"/>
        <w:emboss w:val="0"/>
        <w:imprint w:val="0"/>
        <w:vanish w:val="0"/>
        <w:sz w:val="24"/>
        <w:vertAlign w:val="baseline"/>
      </w:rPr>
    </w:lvl>
    <w:lvl w:ilvl="1">
      <w:start w:val="1"/>
      <w:numFmt w:val="decimal"/>
      <w:pStyle w:val="Heading2"/>
      <w:lvlText w:val="%1.%2"/>
      <w:lvlJc w:val="left"/>
      <w:pPr>
        <w:tabs>
          <w:tab w:val="num" w:pos="1530"/>
        </w:tabs>
        <w:ind w:left="1530" w:hanging="720"/>
      </w:pPr>
      <w:rPr>
        <w:rFonts w:ascii="Arial" w:hAnsi="Arial" w:cs="Arial" w:hint="default"/>
        <w:b/>
        <w:bCs/>
        <w:i w:val="0"/>
        <w:iCs w:val="0"/>
        <w:caps w:val="0"/>
        <w:strike w:val="0"/>
        <w:dstrike w:val="0"/>
        <w:outline w:val="0"/>
        <w:shadow w:val="0"/>
        <w:emboss w:val="0"/>
        <w:imprint w:val="0"/>
        <w:vanish w:val="0"/>
        <w:sz w:val="24"/>
        <w:szCs w:val="24"/>
        <w:vertAlign w:val="baseline"/>
      </w:rPr>
    </w:lvl>
    <w:lvl w:ilvl="2">
      <w:start w:val="1"/>
      <w:numFmt w:val="decimal"/>
      <w:pStyle w:val="Heading3"/>
      <w:lvlText w:val="%1.%2.%3"/>
      <w:lvlJc w:val="left"/>
      <w:pPr>
        <w:tabs>
          <w:tab w:val="num" w:pos="2422"/>
        </w:tabs>
        <w:ind w:left="2422" w:hanging="720"/>
      </w:pPr>
      <w:rPr>
        <w:rFonts w:hint="default"/>
        <w:b/>
        <w:bCs/>
      </w:rPr>
    </w:lvl>
    <w:lvl w:ilvl="3">
      <w:start w:val="1"/>
      <w:numFmt w:val="decimal"/>
      <w:lvlText w:val="%1.%2.%3.%4"/>
      <w:lvlJc w:val="left"/>
      <w:pPr>
        <w:tabs>
          <w:tab w:val="num" w:pos="144"/>
        </w:tabs>
        <w:ind w:left="144" w:hanging="864"/>
      </w:pPr>
      <w:rPr>
        <w:rFonts w:hint="default"/>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432"/>
        </w:tabs>
        <w:ind w:left="432" w:hanging="1152"/>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2">
    <w:nsid w:val="1C895C02"/>
    <w:multiLevelType w:val="multilevel"/>
    <w:tmpl w:val="E4D66D4E"/>
    <w:lvl w:ilvl="0">
      <w:start w:val="1"/>
      <w:numFmt w:val="decimal"/>
      <w:pStyle w:val="Level1"/>
      <w:lvlText w:val="%1."/>
      <w:lvlJc w:val="left"/>
      <w:pPr>
        <w:tabs>
          <w:tab w:val="num" w:pos="1008"/>
        </w:tabs>
        <w:ind w:left="1008" w:hanging="1008"/>
      </w:pPr>
      <w:rPr>
        <w:rFonts w:ascii="Arial" w:hAnsi="Arial" w:cs="Arial" w:hint="default"/>
        <w:b/>
        <w:i w:val="0"/>
      </w:rPr>
    </w:lvl>
    <w:lvl w:ilvl="1">
      <w:start w:val="1"/>
      <w:numFmt w:val="decimal"/>
      <w:pStyle w:val="Level2"/>
      <w:lvlText w:val="%1.%2"/>
      <w:lvlJc w:val="left"/>
      <w:pPr>
        <w:tabs>
          <w:tab w:val="num" w:pos="1008"/>
        </w:tabs>
        <w:ind w:left="1008" w:hanging="1008"/>
      </w:pPr>
      <w:rPr>
        <w:rFonts w:ascii="Arial" w:hAnsi="Arial" w:cs="Arial" w:hint="default"/>
        <w:b w:val="0"/>
        <w:i w:val="0"/>
        <w:sz w:val="24"/>
        <w:szCs w:val="24"/>
      </w:rPr>
    </w:lvl>
    <w:lvl w:ilvl="2">
      <w:start w:val="1"/>
      <w:numFmt w:val="decimal"/>
      <w:pStyle w:val="Level3"/>
      <w:lvlText w:val="%1.%2.%3"/>
      <w:lvlJc w:val="left"/>
      <w:pPr>
        <w:tabs>
          <w:tab w:val="num" w:pos="1008"/>
        </w:tabs>
        <w:ind w:left="1008" w:hanging="1008"/>
      </w:pPr>
      <w:rPr>
        <w:rFonts w:ascii="Arial" w:hAnsi="Arial" w:cs="Arial" w:hint="default"/>
        <w:b w:val="0"/>
      </w:rPr>
    </w:lvl>
    <w:lvl w:ilvl="3">
      <w:start w:val="1"/>
      <w:numFmt w:val="lowerRoman"/>
      <w:pStyle w:val="Level4"/>
      <w:lvlText w:val="(%4)"/>
      <w:lvlJc w:val="left"/>
      <w:pPr>
        <w:tabs>
          <w:tab w:val="num" w:pos="2016"/>
        </w:tabs>
        <w:ind w:left="2016" w:hanging="1008"/>
      </w:pPr>
      <w:rPr>
        <w:rFonts w:ascii="Arial" w:hAnsi="Arial" w:cs="Arial" w:hint="default"/>
        <w:b w:val="0"/>
      </w:rPr>
    </w:lvl>
    <w:lvl w:ilvl="4">
      <w:start w:val="1"/>
      <w:numFmt w:val="lowerLetter"/>
      <w:pStyle w:val="StyleLevel5LatinArialLatin12pt"/>
      <w:lvlText w:val="(%5)"/>
      <w:lvlJc w:val="left"/>
      <w:pPr>
        <w:tabs>
          <w:tab w:val="num" w:pos="2016"/>
        </w:tabs>
        <w:ind w:left="2016" w:hanging="1008"/>
      </w:pPr>
      <w:rPr>
        <w:rFonts w:ascii="Arial" w:hAnsi="Arial" w:hint="default"/>
        <w:b w:val="0"/>
        <w:i w:val="0"/>
      </w:rPr>
    </w:lvl>
    <w:lvl w:ilvl="5">
      <w:start w:val="1"/>
      <w:numFmt w:val="decimal"/>
      <w:pStyle w:val="Level6"/>
      <w:lvlText w:val="(%6)"/>
      <w:lvlJc w:val="left"/>
      <w:pPr>
        <w:tabs>
          <w:tab w:val="num" w:pos="2016"/>
        </w:tabs>
        <w:ind w:left="2016" w:hanging="1008"/>
      </w:pPr>
      <w:rPr>
        <w:rFonts w:ascii="Times New Roman" w:hAnsi="Times New Roman" w:hint="default"/>
        <w:b w:val="0"/>
      </w:rPr>
    </w:lvl>
    <w:lvl w:ilvl="6">
      <w:start w:val="1"/>
      <w:numFmt w:val="upperLetter"/>
      <w:pStyle w:val="Level7"/>
      <w:lvlText w:val="(%7)"/>
      <w:lvlJc w:val="left"/>
      <w:pPr>
        <w:tabs>
          <w:tab w:val="num" w:pos="2016"/>
        </w:tabs>
        <w:ind w:left="2016" w:hanging="1008"/>
      </w:pPr>
      <w:rPr>
        <w:rFonts w:ascii="Times New Roman" w:hAnsi="Times New Roman" w:hint="default"/>
        <w:b w:val="0"/>
      </w:rPr>
    </w:lvl>
    <w:lvl w:ilvl="7">
      <w:start w:val="1"/>
      <w:numFmt w:val="lowerRoman"/>
      <w:pStyle w:val="Level8"/>
      <w:lvlText w:val="(%8)"/>
      <w:lvlJc w:val="left"/>
      <w:pPr>
        <w:tabs>
          <w:tab w:val="num" w:pos="2016"/>
        </w:tabs>
        <w:ind w:left="2016" w:hanging="1008"/>
      </w:pPr>
      <w:rPr>
        <w:rFonts w:ascii="Times New Roman" w:hAnsi="Times New Roman" w:hint="default"/>
        <w:b w:val="0"/>
      </w:rPr>
    </w:lvl>
    <w:lvl w:ilvl="8">
      <w:start w:val="1"/>
      <w:numFmt w:val="lowerRoman"/>
      <w:pStyle w:val="Heading9"/>
      <w:lvlText w:val="%9."/>
      <w:lvlJc w:val="right"/>
      <w:pPr>
        <w:tabs>
          <w:tab w:val="num" w:pos="1584"/>
        </w:tabs>
        <w:ind w:left="1584" w:hanging="144"/>
      </w:pPr>
      <w:rPr>
        <w:rFonts w:hint="default"/>
      </w:rPr>
    </w:lvl>
  </w:abstractNum>
  <w:abstractNum w:abstractNumId="3">
    <w:nsid w:val="3DCB5E88"/>
    <w:multiLevelType w:val="hybridMultilevel"/>
    <w:tmpl w:val="4D8A177A"/>
    <w:lvl w:ilvl="0" w:tplc="215626AA">
      <w:start w:val="1"/>
      <w:numFmt w:val="decimal"/>
      <w:lvlText w:val="%1."/>
      <w:lvlJc w:val="left"/>
      <w:pPr>
        <w:tabs>
          <w:tab w:val="num" w:pos="720"/>
        </w:tabs>
        <w:ind w:left="720" w:hanging="360"/>
      </w:pPr>
      <w:rPr>
        <w:rFonts w:hint="default"/>
      </w:rPr>
    </w:lvl>
    <w:lvl w:ilvl="1" w:tplc="B2A29F80">
      <w:start w:val="1"/>
      <w:numFmt w:val="lowerLetter"/>
      <w:lvlText w:val="%2."/>
      <w:lvlJc w:val="left"/>
      <w:pPr>
        <w:tabs>
          <w:tab w:val="num" w:pos="1440"/>
        </w:tabs>
        <w:ind w:left="1440" w:hanging="360"/>
      </w:pPr>
    </w:lvl>
    <w:lvl w:ilvl="2" w:tplc="81F2A1A4" w:tentative="1">
      <w:start w:val="1"/>
      <w:numFmt w:val="lowerRoman"/>
      <w:lvlText w:val="%3."/>
      <w:lvlJc w:val="right"/>
      <w:pPr>
        <w:tabs>
          <w:tab w:val="num" w:pos="2160"/>
        </w:tabs>
        <w:ind w:left="2160" w:hanging="180"/>
      </w:pPr>
    </w:lvl>
    <w:lvl w:ilvl="3" w:tplc="787CB28E" w:tentative="1">
      <w:start w:val="1"/>
      <w:numFmt w:val="decimal"/>
      <w:lvlText w:val="%4."/>
      <w:lvlJc w:val="left"/>
      <w:pPr>
        <w:tabs>
          <w:tab w:val="num" w:pos="2880"/>
        </w:tabs>
        <w:ind w:left="2880" w:hanging="360"/>
      </w:pPr>
    </w:lvl>
    <w:lvl w:ilvl="4" w:tplc="9954B166" w:tentative="1">
      <w:start w:val="1"/>
      <w:numFmt w:val="lowerLetter"/>
      <w:lvlText w:val="%5."/>
      <w:lvlJc w:val="left"/>
      <w:pPr>
        <w:tabs>
          <w:tab w:val="num" w:pos="3600"/>
        </w:tabs>
        <w:ind w:left="3600" w:hanging="360"/>
      </w:pPr>
    </w:lvl>
    <w:lvl w:ilvl="5" w:tplc="21B6A540" w:tentative="1">
      <w:start w:val="1"/>
      <w:numFmt w:val="lowerRoman"/>
      <w:lvlText w:val="%6."/>
      <w:lvlJc w:val="right"/>
      <w:pPr>
        <w:tabs>
          <w:tab w:val="num" w:pos="4320"/>
        </w:tabs>
        <w:ind w:left="4320" w:hanging="180"/>
      </w:pPr>
    </w:lvl>
    <w:lvl w:ilvl="6" w:tplc="3AD43B62" w:tentative="1">
      <w:start w:val="1"/>
      <w:numFmt w:val="decimal"/>
      <w:lvlText w:val="%7."/>
      <w:lvlJc w:val="left"/>
      <w:pPr>
        <w:tabs>
          <w:tab w:val="num" w:pos="5040"/>
        </w:tabs>
        <w:ind w:left="5040" w:hanging="360"/>
      </w:pPr>
    </w:lvl>
    <w:lvl w:ilvl="7" w:tplc="74706084" w:tentative="1">
      <w:start w:val="1"/>
      <w:numFmt w:val="lowerLetter"/>
      <w:lvlText w:val="%8."/>
      <w:lvlJc w:val="left"/>
      <w:pPr>
        <w:tabs>
          <w:tab w:val="num" w:pos="5760"/>
        </w:tabs>
        <w:ind w:left="5760" w:hanging="360"/>
      </w:pPr>
    </w:lvl>
    <w:lvl w:ilvl="8" w:tplc="32ECECFC" w:tentative="1">
      <w:start w:val="1"/>
      <w:numFmt w:val="lowerRoman"/>
      <w:lvlText w:val="%9."/>
      <w:lvlJc w:val="right"/>
      <w:pPr>
        <w:tabs>
          <w:tab w:val="num" w:pos="6480"/>
        </w:tabs>
        <w:ind w:left="6480" w:hanging="180"/>
      </w:pPr>
    </w:lvl>
  </w:abstractNum>
  <w:abstractNum w:abstractNumId="4">
    <w:nsid w:val="641C48AE"/>
    <w:multiLevelType w:val="multilevel"/>
    <w:tmpl w:val="0409001F"/>
    <w:name w:val="Simmons&amp;Simmons"/>
    <w:numStyleLink w:val="111111"/>
  </w:abstractNum>
  <w:abstractNum w:abstractNumId="5">
    <w:nsid w:val="646E2D3C"/>
    <w:multiLevelType w:val="hybridMultilevel"/>
    <w:tmpl w:val="4A1EBE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7F57B2"/>
    <w:multiLevelType w:val="multilevel"/>
    <w:tmpl w:val="1996DA9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pStyle w:val="Style2"/>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4"/>
  </w:num>
  <w:num w:numId="2">
    <w:abstractNumId w:val="0"/>
  </w:num>
  <w:num w:numId="3">
    <w:abstractNumId w:val="6"/>
  </w:num>
  <w:num w:numId="4">
    <w:abstractNumId w:val="1"/>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
  </w:num>
  <w:num w:numId="30">
    <w:abstractNumId w:val="1"/>
    <w:lvlOverride w:ilvl="0">
      <w:startOverride w:val="6"/>
    </w:lvlOverride>
    <w:lvlOverride w:ilvl="1">
      <w:startOverride w:val="4"/>
    </w:lvlOverride>
    <w:lvlOverride w:ilvl="2">
      <w:startOverride w:val="1"/>
    </w:lvlOverride>
  </w:num>
  <w:num w:numId="31">
    <w:abstractNumId w:val="1"/>
    <w:lvlOverride w:ilvl="0">
      <w:startOverride w:val="6"/>
    </w:lvlOverride>
    <w:lvlOverride w:ilvl="1">
      <w:startOverride w:val="4"/>
    </w:lvlOverride>
    <w:lvlOverride w:ilvl="2">
      <w:startOverride w:val="1"/>
    </w:lvlOverride>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8" w:nlCheck="1" w:checkStyle="1"/>
  <w:activeWritingStyle w:appName="MSWord" w:lang="en-US" w:vendorID="64" w:dllVersion="131078" w:nlCheck="1" w:checkStyle="1"/>
  <w:proofState w:spelling="clean" w:grammar="clean"/>
  <w:stylePaneFormatFilter w:val="3701"/>
  <w:doNotTrackMoves/>
  <w:defaultTabStop w:val="720"/>
  <w:drawingGridHorizontalSpacing w:val="120"/>
  <w:displayHorizontalDrawingGridEvery w:val="2"/>
  <w:noPunctuationKerning/>
  <w:characterSpacingControl w:val="doNotCompress"/>
  <w:hdrShapeDefaults>
    <o:shapedefaults v:ext="edit" spidmax="69633"/>
  </w:hdrShapeDefaults>
  <w:footnotePr>
    <w:footnote w:id="0"/>
    <w:footnote w:id="1"/>
  </w:footnotePr>
  <w:endnotePr>
    <w:endnote w:id="0"/>
    <w:endnote w:id="1"/>
  </w:endnotePr>
  <w:compat>
    <w:applyBreakingRules/>
    <w:useFELayout/>
  </w:compat>
  <w:rsids>
    <w:rsidRoot w:val="009E7561"/>
    <w:rsid w:val="00000107"/>
    <w:rsid w:val="00000717"/>
    <w:rsid w:val="00000B14"/>
    <w:rsid w:val="00002662"/>
    <w:rsid w:val="00002DA7"/>
    <w:rsid w:val="00003339"/>
    <w:rsid w:val="0000353A"/>
    <w:rsid w:val="00003D17"/>
    <w:rsid w:val="00004DBB"/>
    <w:rsid w:val="00004E2F"/>
    <w:rsid w:val="0000525C"/>
    <w:rsid w:val="000057DE"/>
    <w:rsid w:val="00006A72"/>
    <w:rsid w:val="00007645"/>
    <w:rsid w:val="00007905"/>
    <w:rsid w:val="000102D3"/>
    <w:rsid w:val="0001034A"/>
    <w:rsid w:val="00010BA3"/>
    <w:rsid w:val="00010E7C"/>
    <w:rsid w:val="000113B3"/>
    <w:rsid w:val="00012BEB"/>
    <w:rsid w:val="00013DD3"/>
    <w:rsid w:val="00014E50"/>
    <w:rsid w:val="00015D97"/>
    <w:rsid w:val="00016007"/>
    <w:rsid w:val="0001601F"/>
    <w:rsid w:val="00016698"/>
    <w:rsid w:val="0001741E"/>
    <w:rsid w:val="00017C73"/>
    <w:rsid w:val="00020E37"/>
    <w:rsid w:val="00021009"/>
    <w:rsid w:val="000227BB"/>
    <w:rsid w:val="00022C64"/>
    <w:rsid w:val="00022F07"/>
    <w:rsid w:val="00022FF0"/>
    <w:rsid w:val="0002424A"/>
    <w:rsid w:val="00024A39"/>
    <w:rsid w:val="00024E79"/>
    <w:rsid w:val="00025002"/>
    <w:rsid w:val="0002559D"/>
    <w:rsid w:val="0002598C"/>
    <w:rsid w:val="00025A4E"/>
    <w:rsid w:val="00025EE2"/>
    <w:rsid w:val="000260FE"/>
    <w:rsid w:val="00026D30"/>
    <w:rsid w:val="0002761F"/>
    <w:rsid w:val="00027D59"/>
    <w:rsid w:val="00027E11"/>
    <w:rsid w:val="000303FF"/>
    <w:rsid w:val="00030425"/>
    <w:rsid w:val="00030541"/>
    <w:rsid w:val="00031260"/>
    <w:rsid w:val="0003136E"/>
    <w:rsid w:val="00031DAD"/>
    <w:rsid w:val="0003295A"/>
    <w:rsid w:val="00032A76"/>
    <w:rsid w:val="00032C8A"/>
    <w:rsid w:val="00033466"/>
    <w:rsid w:val="00034596"/>
    <w:rsid w:val="0003505C"/>
    <w:rsid w:val="00035CEE"/>
    <w:rsid w:val="00035F89"/>
    <w:rsid w:val="00036E60"/>
    <w:rsid w:val="00037290"/>
    <w:rsid w:val="00037A04"/>
    <w:rsid w:val="0004061F"/>
    <w:rsid w:val="00041326"/>
    <w:rsid w:val="000433A1"/>
    <w:rsid w:val="00043513"/>
    <w:rsid w:val="00043ECF"/>
    <w:rsid w:val="00044357"/>
    <w:rsid w:val="000448EB"/>
    <w:rsid w:val="0004612F"/>
    <w:rsid w:val="00046980"/>
    <w:rsid w:val="00046F9F"/>
    <w:rsid w:val="00047E11"/>
    <w:rsid w:val="00047F0F"/>
    <w:rsid w:val="00050456"/>
    <w:rsid w:val="00050BE0"/>
    <w:rsid w:val="00051477"/>
    <w:rsid w:val="00051D98"/>
    <w:rsid w:val="00053CAB"/>
    <w:rsid w:val="00054505"/>
    <w:rsid w:val="00055D39"/>
    <w:rsid w:val="00055DA5"/>
    <w:rsid w:val="00057097"/>
    <w:rsid w:val="00060AE9"/>
    <w:rsid w:val="00060C7F"/>
    <w:rsid w:val="00062971"/>
    <w:rsid w:val="00062F4F"/>
    <w:rsid w:val="000633B5"/>
    <w:rsid w:val="00063B21"/>
    <w:rsid w:val="00064C99"/>
    <w:rsid w:val="000657E9"/>
    <w:rsid w:val="00065EC9"/>
    <w:rsid w:val="00066017"/>
    <w:rsid w:val="00066140"/>
    <w:rsid w:val="00066659"/>
    <w:rsid w:val="000706F8"/>
    <w:rsid w:val="000714C0"/>
    <w:rsid w:val="000717BE"/>
    <w:rsid w:val="00071EA9"/>
    <w:rsid w:val="00073772"/>
    <w:rsid w:val="00073AC1"/>
    <w:rsid w:val="00074C20"/>
    <w:rsid w:val="00074EE7"/>
    <w:rsid w:val="00076097"/>
    <w:rsid w:val="00080614"/>
    <w:rsid w:val="00080774"/>
    <w:rsid w:val="00081856"/>
    <w:rsid w:val="00083D99"/>
    <w:rsid w:val="000856FF"/>
    <w:rsid w:val="000859D8"/>
    <w:rsid w:val="00085DD3"/>
    <w:rsid w:val="00086A25"/>
    <w:rsid w:val="00087B54"/>
    <w:rsid w:val="00087D79"/>
    <w:rsid w:val="000900D4"/>
    <w:rsid w:val="0009066F"/>
    <w:rsid w:val="000908BB"/>
    <w:rsid w:val="00091A0C"/>
    <w:rsid w:val="000933C8"/>
    <w:rsid w:val="000935CB"/>
    <w:rsid w:val="00094F2C"/>
    <w:rsid w:val="000956BB"/>
    <w:rsid w:val="00095D20"/>
    <w:rsid w:val="0009621D"/>
    <w:rsid w:val="00096B80"/>
    <w:rsid w:val="00096F89"/>
    <w:rsid w:val="000977D6"/>
    <w:rsid w:val="000A00EA"/>
    <w:rsid w:val="000A0244"/>
    <w:rsid w:val="000A0C3B"/>
    <w:rsid w:val="000A0F5D"/>
    <w:rsid w:val="000A1113"/>
    <w:rsid w:val="000A214D"/>
    <w:rsid w:val="000A2D2F"/>
    <w:rsid w:val="000A34E7"/>
    <w:rsid w:val="000A3594"/>
    <w:rsid w:val="000A3771"/>
    <w:rsid w:val="000A41AD"/>
    <w:rsid w:val="000A4879"/>
    <w:rsid w:val="000A4E32"/>
    <w:rsid w:val="000A6698"/>
    <w:rsid w:val="000A6710"/>
    <w:rsid w:val="000A6C54"/>
    <w:rsid w:val="000A705D"/>
    <w:rsid w:val="000B1750"/>
    <w:rsid w:val="000B20B3"/>
    <w:rsid w:val="000B2582"/>
    <w:rsid w:val="000B3089"/>
    <w:rsid w:val="000B36B5"/>
    <w:rsid w:val="000B462C"/>
    <w:rsid w:val="000B5218"/>
    <w:rsid w:val="000B65EC"/>
    <w:rsid w:val="000B71C9"/>
    <w:rsid w:val="000B7886"/>
    <w:rsid w:val="000C11D6"/>
    <w:rsid w:val="000C1E9C"/>
    <w:rsid w:val="000C2D71"/>
    <w:rsid w:val="000C2F0B"/>
    <w:rsid w:val="000C329A"/>
    <w:rsid w:val="000C3411"/>
    <w:rsid w:val="000C3417"/>
    <w:rsid w:val="000C4187"/>
    <w:rsid w:val="000C45DB"/>
    <w:rsid w:val="000C4825"/>
    <w:rsid w:val="000C4B96"/>
    <w:rsid w:val="000C5372"/>
    <w:rsid w:val="000C5A8F"/>
    <w:rsid w:val="000C7434"/>
    <w:rsid w:val="000C7528"/>
    <w:rsid w:val="000C773A"/>
    <w:rsid w:val="000C7BD3"/>
    <w:rsid w:val="000D07AC"/>
    <w:rsid w:val="000D0A77"/>
    <w:rsid w:val="000D1246"/>
    <w:rsid w:val="000D1431"/>
    <w:rsid w:val="000D2972"/>
    <w:rsid w:val="000D2CF9"/>
    <w:rsid w:val="000D5178"/>
    <w:rsid w:val="000D626F"/>
    <w:rsid w:val="000D650A"/>
    <w:rsid w:val="000D6650"/>
    <w:rsid w:val="000D685D"/>
    <w:rsid w:val="000D6EF9"/>
    <w:rsid w:val="000E12D3"/>
    <w:rsid w:val="000E17C2"/>
    <w:rsid w:val="000E2AB4"/>
    <w:rsid w:val="000E3600"/>
    <w:rsid w:val="000E556E"/>
    <w:rsid w:val="000E5574"/>
    <w:rsid w:val="000E58CA"/>
    <w:rsid w:val="000F0B32"/>
    <w:rsid w:val="000F266F"/>
    <w:rsid w:val="000F286E"/>
    <w:rsid w:val="000F3853"/>
    <w:rsid w:val="000F3EBC"/>
    <w:rsid w:val="000F4087"/>
    <w:rsid w:val="000F5324"/>
    <w:rsid w:val="000F54B3"/>
    <w:rsid w:val="000F5E24"/>
    <w:rsid w:val="000F6D88"/>
    <w:rsid w:val="000F74B6"/>
    <w:rsid w:val="00100878"/>
    <w:rsid w:val="00101D35"/>
    <w:rsid w:val="00101F65"/>
    <w:rsid w:val="0010228B"/>
    <w:rsid w:val="001027AC"/>
    <w:rsid w:val="00103622"/>
    <w:rsid w:val="00103750"/>
    <w:rsid w:val="00103DF9"/>
    <w:rsid w:val="0010413E"/>
    <w:rsid w:val="00104B4D"/>
    <w:rsid w:val="00104F88"/>
    <w:rsid w:val="0010652B"/>
    <w:rsid w:val="00107135"/>
    <w:rsid w:val="001101F6"/>
    <w:rsid w:val="001105D2"/>
    <w:rsid w:val="00110F13"/>
    <w:rsid w:val="0011361F"/>
    <w:rsid w:val="001142C4"/>
    <w:rsid w:val="0011634F"/>
    <w:rsid w:val="0011727B"/>
    <w:rsid w:val="0011768E"/>
    <w:rsid w:val="00117DB8"/>
    <w:rsid w:val="00120CAC"/>
    <w:rsid w:val="00120D13"/>
    <w:rsid w:val="0012220D"/>
    <w:rsid w:val="0012363E"/>
    <w:rsid w:val="00123CC9"/>
    <w:rsid w:val="001254BB"/>
    <w:rsid w:val="001271AE"/>
    <w:rsid w:val="0013034F"/>
    <w:rsid w:val="001306A2"/>
    <w:rsid w:val="00131745"/>
    <w:rsid w:val="00131746"/>
    <w:rsid w:val="00132277"/>
    <w:rsid w:val="001325E8"/>
    <w:rsid w:val="001333CD"/>
    <w:rsid w:val="00133E5B"/>
    <w:rsid w:val="001340BB"/>
    <w:rsid w:val="001358EB"/>
    <w:rsid w:val="00136590"/>
    <w:rsid w:val="00136D73"/>
    <w:rsid w:val="00137789"/>
    <w:rsid w:val="001402DA"/>
    <w:rsid w:val="0014099E"/>
    <w:rsid w:val="00140E95"/>
    <w:rsid w:val="00142E86"/>
    <w:rsid w:val="0014381B"/>
    <w:rsid w:val="00144262"/>
    <w:rsid w:val="001443E8"/>
    <w:rsid w:val="00144591"/>
    <w:rsid w:val="0014669B"/>
    <w:rsid w:val="00146808"/>
    <w:rsid w:val="00147335"/>
    <w:rsid w:val="001504CF"/>
    <w:rsid w:val="001534C4"/>
    <w:rsid w:val="00153FD0"/>
    <w:rsid w:val="00155D39"/>
    <w:rsid w:val="00155F28"/>
    <w:rsid w:val="0015600D"/>
    <w:rsid w:val="00156D6B"/>
    <w:rsid w:val="00157CAD"/>
    <w:rsid w:val="001600C2"/>
    <w:rsid w:val="00160871"/>
    <w:rsid w:val="00160A96"/>
    <w:rsid w:val="00160E16"/>
    <w:rsid w:val="001617B7"/>
    <w:rsid w:val="00161BB8"/>
    <w:rsid w:val="00161FF6"/>
    <w:rsid w:val="00163A1C"/>
    <w:rsid w:val="00164E42"/>
    <w:rsid w:val="00165748"/>
    <w:rsid w:val="00165B3B"/>
    <w:rsid w:val="00165EB3"/>
    <w:rsid w:val="00166D0B"/>
    <w:rsid w:val="001710A6"/>
    <w:rsid w:val="0017165D"/>
    <w:rsid w:val="001735B6"/>
    <w:rsid w:val="001755C9"/>
    <w:rsid w:val="00176DE3"/>
    <w:rsid w:val="00176E1D"/>
    <w:rsid w:val="001770AC"/>
    <w:rsid w:val="00180033"/>
    <w:rsid w:val="00180E4B"/>
    <w:rsid w:val="00181228"/>
    <w:rsid w:val="001815D8"/>
    <w:rsid w:val="001831DB"/>
    <w:rsid w:val="00183C94"/>
    <w:rsid w:val="001863F7"/>
    <w:rsid w:val="001875E5"/>
    <w:rsid w:val="001878A4"/>
    <w:rsid w:val="001905C1"/>
    <w:rsid w:val="00191133"/>
    <w:rsid w:val="001911E4"/>
    <w:rsid w:val="00191BAE"/>
    <w:rsid w:val="001928A3"/>
    <w:rsid w:val="00192AC6"/>
    <w:rsid w:val="00193272"/>
    <w:rsid w:val="00193525"/>
    <w:rsid w:val="00193DC8"/>
    <w:rsid w:val="00194878"/>
    <w:rsid w:val="00194938"/>
    <w:rsid w:val="00194D2E"/>
    <w:rsid w:val="0019578A"/>
    <w:rsid w:val="001A0C3A"/>
    <w:rsid w:val="001A0CB7"/>
    <w:rsid w:val="001A2089"/>
    <w:rsid w:val="001A30F8"/>
    <w:rsid w:val="001A31E2"/>
    <w:rsid w:val="001A4410"/>
    <w:rsid w:val="001A4E86"/>
    <w:rsid w:val="001A5131"/>
    <w:rsid w:val="001A6583"/>
    <w:rsid w:val="001A7610"/>
    <w:rsid w:val="001B00E4"/>
    <w:rsid w:val="001B085B"/>
    <w:rsid w:val="001B0DC1"/>
    <w:rsid w:val="001B0F59"/>
    <w:rsid w:val="001B102A"/>
    <w:rsid w:val="001B18BA"/>
    <w:rsid w:val="001B23D2"/>
    <w:rsid w:val="001B25DB"/>
    <w:rsid w:val="001B31A9"/>
    <w:rsid w:val="001B3595"/>
    <w:rsid w:val="001B3EBB"/>
    <w:rsid w:val="001B4CAB"/>
    <w:rsid w:val="001B66E4"/>
    <w:rsid w:val="001B67FB"/>
    <w:rsid w:val="001B6B03"/>
    <w:rsid w:val="001B6FCC"/>
    <w:rsid w:val="001B7A37"/>
    <w:rsid w:val="001C0786"/>
    <w:rsid w:val="001C09BF"/>
    <w:rsid w:val="001C155C"/>
    <w:rsid w:val="001C2C7F"/>
    <w:rsid w:val="001C4F4B"/>
    <w:rsid w:val="001C5C27"/>
    <w:rsid w:val="001C6DF5"/>
    <w:rsid w:val="001D0514"/>
    <w:rsid w:val="001D0843"/>
    <w:rsid w:val="001D2114"/>
    <w:rsid w:val="001D2DA1"/>
    <w:rsid w:val="001D5A8F"/>
    <w:rsid w:val="001D630A"/>
    <w:rsid w:val="001D639D"/>
    <w:rsid w:val="001E014D"/>
    <w:rsid w:val="001E1037"/>
    <w:rsid w:val="001E1726"/>
    <w:rsid w:val="001E185D"/>
    <w:rsid w:val="001E1965"/>
    <w:rsid w:val="001E1FAB"/>
    <w:rsid w:val="001E23F3"/>
    <w:rsid w:val="001E2970"/>
    <w:rsid w:val="001E2C69"/>
    <w:rsid w:val="001E4DCB"/>
    <w:rsid w:val="001E4F64"/>
    <w:rsid w:val="001E6BE1"/>
    <w:rsid w:val="001E7980"/>
    <w:rsid w:val="001E7A78"/>
    <w:rsid w:val="001F04D5"/>
    <w:rsid w:val="001F0993"/>
    <w:rsid w:val="001F10EB"/>
    <w:rsid w:val="001F2516"/>
    <w:rsid w:val="001F290E"/>
    <w:rsid w:val="001F2CEA"/>
    <w:rsid w:val="001F339A"/>
    <w:rsid w:val="001F3F9D"/>
    <w:rsid w:val="001F44B4"/>
    <w:rsid w:val="001F4E8A"/>
    <w:rsid w:val="001F5257"/>
    <w:rsid w:val="001F595A"/>
    <w:rsid w:val="001F59D0"/>
    <w:rsid w:val="001F5F8E"/>
    <w:rsid w:val="001F6981"/>
    <w:rsid w:val="001F79AE"/>
    <w:rsid w:val="001F7A59"/>
    <w:rsid w:val="002018EA"/>
    <w:rsid w:val="00201C64"/>
    <w:rsid w:val="00202A6E"/>
    <w:rsid w:val="00202BE1"/>
    <w:rsid w:val="002030CF"/>
    <w:rsid w:val="002034FC"/>
    <w:rsid w:val="00205C6A"/>
    <w:rsid w:val="00205DB5"/>
    <w:rsid w:val="002062EE"/>
    <w:rsid w:val="00206940"/>
    <w:rsid w:val="002078B5"/>
    <w:rsid w:val="002079B2"/>
    <w:rsid w:val="00210300"/>
    <w:rsid w:val="00211165"/>
    <w:rsid w:val="00211735"/>
    <w:rsid w:val="002126F6"/>
    <w:rsid w:val="00212A0B"/>
    <w:rsid w:val="0021300A"/>
    <w:rsid w:val="002139C4"/>
    <w:rsid w:val="00213ECD"/>
    <w:rsid w:val="002140E6"/>
    <w:rsid w:val="0021459F"/>
    <w:rsid w:val="0021466B"/>
    <w:rsid w:val="00215074"/>
    <w:rsid w:val="00215248"/>
    <w:rsid w:val="00215720"/>
    <w:rsid w:val="0021650A"/>
    <w:rsid w:val="002174AB"/>
    <w:rsid w:val="00217B97"/>
    <w:rsid w:val="002209D0"/>
    <w:rsid w:val="00220A14"/>
    <w:rsid w:val="00220EE8"/>
    <w:rsid w:val="00220EF6"/>
    <w:rsid w:val="00222261"/>
    <w:rsid w:val="00222B52"/>
    <w:rsid w:val="00223490"/>
    <w:rsid w:val="00225B11"/>
    <w:rsid w:val="002262F5"/>
    <w:rsid w:val="00227E50"/>
    <w:rsid w:val="002300C4"/>
    <w:rsid w:val="0023095A"/>
    <w:rsid w:val="00232544"/>
    <w:rsid w:val="00234010"/>
    <w:rsid w:val="002353D5"/>
    <w:rsid w:val="002356FF"/>
    <w:rsid w:val="00235B42"/>
    <w:rsid w:val="00235CDA"/>
    <w:rsid w:val="00236505"/>
    <w:rsid w:val="00236CF7"/>
    <w:rsid w:val="00237AF4"/>
    <w:rsid w:val="00237D10"/>
    <w:rsid w:val="002408DB"/>
    <w:rsid w:val="00240B3E"/>
    <w:rsid w:val="00240F45"/>
    <w:rsid w:val="00241907"/>
    <w:rsid w:val="00242CB5"/>
    <w:rsid w:val="00243A83"/>
    <w:rsid w:val="00243B35"/>
    <w:rsid w:val="00246296"/>
    <w:rsid w:val="00247521"/>
    <w:rsid w:val="00247DBD"/>
    <w:rsid w:val="0025008B"/>
    <w:rsid w:val="00250CE0"/>
    <w:rsid w:val="002510FB"/>
    <w:rsid w:val="0025214F"/>
    <w:rsid w:val="00252307"/>
    <w:rsid w:val="0025231B"/>
    <w:rsid w:val="0025260D"/>
    <w:rsid w:val="00254BA2"/>
    <w:rsid w:val="002556AC"/>
    <w:rsid w:val="002568DC"/>
    <w:rsid w:val="00256AB2"/>
    <w:rsid w:val="00256D5F"/>
    <w:rsid w:val="002572ED"/>
    <w:rsid w:val="00257558"/>
    <w:rsid w:val="00257B8C"/>
    <w:rsid w:val="00260778"/>
    <w:rsid w:val="0026186B"/>
    <w:rsid w:val="00262587"/>
    <w:rsid w:val="0026279E"/>
    <w:rsid w:val="002628A8"/>
    <w:rsid w:val="00262C76"/>
    <w:rsid w:val="00262E55"/>
    <w:rsid w:val="00262E57"/>
    <w:rsid w:val="00262F66"/>
    <w:rsid w:val="0026564D"/>
    <w:rsid w:val="00266042"/>
    <w:rsid w:val="00271F29"/>
    <w:rsid w:val="002728C7"/>
    <w:rsid w:val="00273196"/>
    <w:rsid w:val="00274F31"/>
    <w:rsid w:val="00275BA8"/>
    <w:rsid w:val="00275C95"/>
    <w:rsid w:val="00275DC8"/>
    <w:rsid w:val="0028010A"/>
    <w:rsid w:val="002804C2"/>
    <w:rsid w:val="002807EF"/>
    <w:rsid w:val="0028085B"/>
    <w:rsid w:val="0028118E"/>
    <w:rsid w:val="002815E3"/>
    <w:rsid w:val="00282651"/>
    <w:rsid w:val="002843F7"/>
    <w:rsid w:val="00284CAA"/>
    <w:rsid w:val="00285909"/>
    <w:rsid w:val="00286AAF"/>
    <w:rsid w:val="002873D5"/>
    <w:rsid w:val="0029056B"/>
    <w:rsid w:val="00290B16"/>
    <w:rsid w:val="00291AF8"/>
    <w:rsid w:val="00291BDE"/>
    <w:rsid w:val="00292ABB"/>
    <w:rsid w:val="002938F4"/>
    <w:rsid w:val="00293BEA"/>
    <w:rsid w:val="0029424C"/>
    <w:rsid w:val="00296980"/>
    <w:rsid w:val="002974BD"/>
    <w:rsid w:val="00297DC0"/>
    <w:rsid w:val="002A083E"/>
    <w:rsid w:val="002A0B84"/>
    <w:rsid w:val="002A1651"/>
    <w:rsid w:val="002A25C1"/>
    <w:rsid w:val="002A2683"/>
    <w:rsid w:val="002A2874"/>
    <w:rsid w:val="002A2FB5"/>
    <w:rsid w:val="002A30CD"/>
    <w:rsid w:val="002A3E6E"/>
    <w:rsid w:val="002A4697"/>
    <w:rsid w:val="002A6F04"/>
    <w:rsid w:val="002A72CD"/>
    <w:rsid w:val="002A75AE"/>
    <w:rsid w:val="002A7A7B"/>
    <w:rsid w:val="002A7F34"/>
    <w:rsid w:val="002B0025"/>
    <w:rsid w:val="002B0A86"/>
    <w:rsid w:val="002B319E"/>
    <w:rsid w:val="002B3FF1"/>
    <w:rsid w:val="002B53A9"/>
    <w:rsid w:val="002B646D"/>
    <w:rsid w:val="002B6D10"/>
    <w:rsid w:val="002B6F36"/>
    <w:rsid w:val="002B74F4"/>
    <w:rsid w:val="002B7F45"/>
    <w:rsid w:val="002C00E0"/>
    <w:rsid w:val="002C0290"/>
    <w:rsid w:val="002C0452"/>
    <w:rsid w:val="002C07E7"/>
    <w:rsid w:val="002C2156"/>
    <w:rsid w:val="002C4CDA"/>
    <w:rsid w:val="002C6FBE"/>
    <w:rsid w:val="002D113B"/>
    <w:rsid w:val="002D19DF"/>
    <w:rsid w:val="002D21BB"/>
    <w:rsid w:val="002D2F34"/>
    <w:rsid w:val="002D4266"/>
    <w:rsid w:val="002D4382"/>
    <w:rsid w:val="002D70AD"/>
    <w:rsid w:val="002D742D"/>
    <w:rsid w:val="002D7FAA"/>
    <w:rsid w:val="002E200F"/>
    <w:rsid w:val="002E29A8"/>
    <w:rsid w:val="002E3EF5"/>
    <w:rsid w:val="002E52DA"/>
    <w:rsid w:val="002E5312"/>
    <w:rsid w:val="002E5D32"/>
    <w:rsid w:val="002E627B"/>
    <w:rsid w:val="002E66B5"/>
    <w:rsid w:val="002E6F6E"/>
    <w:rsid w:val="002E7185"/>
    <w:rsid w:val="002F0664"/>
    <w:rsid w:val="002F1BD5"/>
    <w:rsid w:val="002F1D12"/>
    <w:rsid w:val="002F37A1"/>
    <w:rsid w:val="002F50F1"/>
    <w:rsid w:val="002F580B"/>
    <w:rsid w:val="002F7E95"/>
    <w:rsid w:val="00300653"/>
    <w:rsid w:val="0030074E"/>
    <w:rsid w:val="003009E0"/>
    <w:rsid w:val="0030135F"/>
    <w:rsid w:val="00301833"/>
    <w:rsid w:val="00302137"/>
    <w:rsid w:val="003026DA"/>
    <w:rsid w:val="00302789"/>
    <w:rsid w:val="003033B8"/>
    <w:rsid w:val="00303A98"/>
    <w:rsid w:val="00304730"/>
    <w:rsid w:val="00305AD1"/>
    <w:rsid w:val="00305DBD"/>
    <w:rsid w:val="00305E85"/>
    <w:rsid w:val="003061D0"/>
    <w:rsid w:val="0030660E"/>
    <w:rsid w:val="00306D0D"/>
    <w:rsid w:val="003071A3"/>
    <w:rsid w:val="003074B3"/>
    <w:rsid w:val="00311464"/>
    <w:rsid w:val="00311EAF"/>
    <w:rsid w:val="003155C0"/>
    <w:rsid w:val="003167B7"/>
    <w:rsid w:val="00317604"/>
    <w:rsid w:val="0031776C"/>
    <w:rsid w:val="0032113A"/>
    <w:rsid w:val="0032243D"/>
    <w:rsid w:val="003239E0"/>
    <w:rsid w:val="00323EAF"/>
    <w:rsid w:val="00324B27"/>
    <w:rsid w:val="00325159"/>
    <w:rsid w:val="00325B1A"/>
    <w:rsid w:val="0032613D"/>
    <w:rsid w:val="003261EC"/>
    <w:rsid w:val="003269A2"/>
    <w:rsid w:val="00327156"/>
    <w:rsid w:val="003272CB"/>
    <w:rsid w:val="00330AA1"/>
    <w:rsid w:val="00330B2A"/>
    <w:rsid w:val="0033143A"/>
    <w:rsid w:val="003323A2"/>
    <w:rsid w:val="00332B20"/>
    <w:rsid w:val="00332ED6"/>
    <w:rsid w:val="00333AF5"/>
    <w:rsid w:val="00333F26"/>
    <w:rsid w:val="003349D8"/>
    <w:rsid w:val="00334D1E"/>
    <w:rsid w:val="0033554E"/>
    <w:rsid w:val="00337123"/>
    <w:rsid w:val="003405BD"/>
    <w:rsid w:val="0034161B"/>
    <w:rsid w:val="00342849"/>
    <w:rsid w:val="00343DE3"/>
    <w:rsid w:val="00344711"/>
    <w:rsid w:val="0034475F"/>
    <w:rsid w:val="003464E8"/>
    <w:rsid w:val="00346E90"/>
    <w:rsid w:val="00350C49"/>
    <w:rsid w:val="00352088"/>
    <w:rsid w:val="00352150"/>
    <w:rsid w:val="003535C9"/>
    <w:rsid w:val="00354F1F"/>
    <w:rsid w:val="00355B9E"/>
    <w:rsid w:val="003566FE"/>
    <w:rsid w:val="00360DD3"/>
    <w:rsid w:val="0036208D"/>
    <w:rsid w:val="0036208F"/>
    <w:rsid w:val="00362467"/>
    <w:rsid w:val="0036319E"/>
    <w:rsid w:val="0036356D"/>
    <w:rsid w:val="003636A5"/>
    <w:rsid w:val="00363EB3"/>
    <w:rsid w:val="0036495B"/>
    <w:rsid w:val="003659FF"/>
    <w:rsid w:val="00365AE7"/>
    <w:rsid w:val="003667D1"/>
    <w:rsid w:val="00367B60"/>
    <w:rsid w:val="00367F8B"/>
    <w:rsid w:val="003704CF"/>
    <w:rsid w:val="00370CDE"/>
    <w:rsid w:val="00371F30"/>
    <w:rsid w:val="00372C01"/>
    <w:rsid w:val="00372C74"/>
    <w:rsid w:val="003749AF"/>
    <w:rsid w:val="00374F4A"/>
    <w:rsid w:val="00375681"/>
    <w:rsid w:val="00376A3B"/>
    <w:rsid w:val="0037718E"/>
    <w:rsid w:val="00380BCF"/>
    <w:rsid w:val="00380BF0"/>
    <w:rsid w:val="00381DB4"/>
    <w:rsid w:val="00382479"/>
    <w:rsid w:val="003830B3"/>
    <w:rsid w:val="003842B4"/>
    <w:rsid w:val="00384E4C"/>
    <w:rsid w:val="00385395"/>
    <w:rsid w:val="00386402"/>
    <w:rsid w:val="00390871"/>
    <w:rsid w:val="003908CF"/>
    <w:rsid w:val="00390974"/>
    <w:rsid w:val="00390A29"/>
    <w:rsid w:val="00390C60"/>
    <w:rsid w:val="0039170C"/>
    <w:rsid w:val="00392114"/>
    <w:rsid w:val="00392814"/>
    <w:rsid w:val="0039329C"/>
    <w:rsid w:val="0039339E"/>
    <w:rsid w:val="0039482F"/>
    <w:rsid w:val="00394AB4"/>
    <w:rsid w:val="00396935"/>
    <w:rsid w:val="003972A4"/>
    <w:rsid w:val="003A001C"/>
    <w:rsid w:val="003A0175"/>
    <w:rsid w:val="003A116C"/>
    <w:rsid w:val="003A183D"/>
    <w:rsid w:val="003A1D85"/>
    <w:rsid w:val="003A1E0E"/>
    <w:rsid w:val="003A33B8"/>
    <w:rsid w:val="003A4903"/>
    <w:rsid w:val="003A4F30"/>
    <w:rsid w:val="003A512F"/>
    <w:rsid w:val="003A621E"/>
    <w:rsid w:val="003A685D"/>
    <w:rsid w:val="003A764B"/>
    <w:rsid w:val="003B002E"/>
    <w:rsid w:val="003B03C2"/>
    <w:rsid w:val="003B0787"/>
    <w:rsid w:val="003B173A"/>
    <w:rsid w:val="003B17D2"/>
    <w:rsid w:val="003B22D0"/>
    <w:rsid w:val="003B2313"/>
    <w:rsid w:val="003B3160"/>
    <w:rsid w:val="003B46CF"/>
    <w:rsid w:val="003B5B7A"/>
    <w:rsid w:val="003B654E"/>
    <w:rsid w:val="003B6A2A"/>
    <w:rsid w:val="003B71ED"/>
    <w:rsid w:val="003B7EEE"/>
    <w:rsid w:val="003C0547"/>
    <w:rsid w:val="003C08AC"/>
    <w:rsid w:val="003C1854"/>
    <w:rsid w:val="003C22C5"/>
    <w:rsid w:val="003C2BD4"/>
    <w:rsid w:val="003C317B"/>
    <w:rsid w:val="003C3FC7"/>
    <w:rsid w:val="003C4FBD"/>
    <w:rsid w:val="003C5876"/>
    <w:rsid w:val="003C6424"/>
    <w:rsid w:val="003C6838"/>
    <w:rsid w:val="003C6FE7"/>
    <w:rsid w:val="003C735D"/>
    <w:rsid w:val="003C7DB7"/>
    <w:rsid w:val="003D017F"/>
    <w:rsid w:val="003D066D"/>
    <w:rsid w:val="003D19D4"/>
    <w:rsid w:val="003D1D90"/>
    <w:rsid w:val="003D2461"/>
    <w:rsid w:val="003D2DD4"/>
    <w:rsid w:val="003D3600"/>
    <w:rsid w:val="003D5112"/>
    <w:rsid w:val="003D5FD8"/>
    <w:rsid w:val="003D7DA8"/>
    <w:rsid w:val="003E0DF6"/>
    <w:rsid w:val="003E10F1"/>
    <w:rsid w:val="003E2475"/>
    <w:rsid w:val="003E2512"/>
    <w:rsid w:val="003E2D29"/>
    <w:rsid w:val="003E39FE"/>
    <w:rsid w:val="003E5789"/>
    <w:rsid w:val="003E6395"/>
    <w:rsid w:val="003E67F5"/>
    <w:rsid w:val="003E70B0"/>
    <w:rsid w:val="003E7C56"/>
    <w:rsid w:val="003F04AC"/>
    <w:rsid w:val="003F19B6"/>
    <w:rsid w:val="003F1F02"/>
    <w:rsid w:val="003F3005"/>
    <w:rsid w:val="003F3500"/>
    <w:rsid w:val="003F3B85"/>
    <w:rsid w:val="003F44E2"/>
    <w:rsid w:val="003F4E68"/>
    <w:rsid w:val="003F4EF3"/>
    <w:rsid w:val="003F541B"/>
    <w:rsid w:val="003F5D91"/>
    <w:rsid w:val="003F5E6A"/>
    <w:rsid w:val="003F6A59"/>
    <w:rsid w:val="00400710"/>
    <w:rsid w:val="004009CC"/>
    <w:rsid w:val="00400C06"/>
    <w:rsid w:val="004012CB"/>
    <w:rsid w:val="0040262B"/>
    <w:rsid w:val="00402D45"/>
    <w:rsid w:val="00402E45"/>
    <w:rsid w:val="00404D25"/>
    <w:rsid w:val="00405F37"/>
    <w:rsid w:val="00406353"/>
    <w:rsid w:val="00407025"/>
    <w:rsid w:val="00407085"/>
    <w:rsid w:val="00410C37"/>
    <w:rsid w:val="0041153A"/>
    <w:rsid w:val="00411E25"/>
    <w:rsid w:val="004126BC"/>
    <w:rsid w:val="0041472A"/>
    <w:rsid w:val="0041485A"/>
    <w:rsid w:val="00416BB6"/>
    <w:rsid w:val="00416CF8"/>
    <w:rsid w:val="00420B4D"/>
    <w:rsid w:val="00421389"/>
    <w:rsid w:val="00421407"/>
    <w:rsid w:val="0042151E"/>
    <w:rsid w:val="00421AF2"/>
    <w:rsid w:val="00422524"/>
    <w:rsid w:val="00422CCA"/>
    <w:rsid w:val="00422D85"/>
    <w:rsid w:val="00423248"/>
    <w:rsid w:val="004234DA"/>
    <w:rsid w:val="0042384B"/>
    <w:rsid w:val="00424677"/>
    <w:rsid w:val="00425998"/>
    <w:rsid w:val="004260D2"/>
    <w:rsid w:val="004263C6"/>
    <w:rsid w:val="004265C8"/>
    <w:rsid w:val="00430473"/>
    <w:rsid w:val="00430A30"/>
    <w:rsid w:val="00434EEE"/>
    <w:rsid w:val="0043551E"/>
    <w:rsid w:val="00435B8E"/>
    <w:rsid w:val="004360F0"/>
    <w:rsid w:val="00436FB2"/>
    <w:rsid w:val="00437BCC"/>
    <w:rsid w:val="004403EC"/>
    <w:rsid w:val="004406CB"/>
    <w:rsid w:val="00441EFB"/>
    <w:rsid w:val="00442023"/>
    <w:rsid w:val="0044223D"/>
    <w:rsid w:val="00443B12"/>
    <w:rsid w:val="00445931"/>
    <w:rsid w:val="00446257"/>
    <w:rsid w:val="00446815"/>
    <w:rsid w:val="0044736D"/>
    <w:rsid w:val="00451482"/>
    <w:rsid w:val="00451D7E"/>
    <w:rsid w:val="0045222D"/>
    <w:rsid w:val="00452B14"/>
    <w:rsid w:val="004531D7"/>
    <w:rsid w:val="004542EF"/>
    <w:rsid w:val="00455991"/>
    <w:rsid w:val="0045652A"/>
    <w:rsid w:val="00457AFD"/>
    <w:rsid w:val="00457D64"/>
    <w:rsid w:val="00460415"/>
    <w:rsid w:val="0046044A"/>
    <w:rsid w:val="00461739"/>
    <w:rsid w:val="00461F4C"/>
    <w:rsid w:val="004623AF"/>
    <w:rsid w:val="004627D8"/>
    <w:rsid w:val="004628EF"/>
    <w:rsid w:val="00463CBA"/>
    <w:rsid w:val="00464F18"/>
    <w:rsid w:val="00464FFA"/>
    <w:rsid w:val="004658FD"/>
    <w:rsid w:val="00465C90"/>
    <w:rsid w:val="00466E3B"/>
    <w:rsid w:val="00467D91"/>
    <w:rsid w:val="0047065C"/>
    <w:rsid w:val="00471E9E"/>
    <w:rsid w:val="0047558B"/>
    <w:rsid w:val="00476AA1"/>
    <w:rsid w:val="00481225"/>
    <w:rsid w:val="00481C97"/>
    <w:rsid w:val="00481FA6"/>
    <w:rsid w:val="0048249D"/>
    <w:rsid w:val="00482894"/>
    <w:rsid w:val="00482B7F"/>
    <w:rsid w:val="00482C96"/>
    <w:rsid w:val="00485FEB"/>
    <w:rsid w:val="00486ED9"/>
    <w:rsid w:val="004901D1"/>
    <w:rsid w:val="004902E3"/>
    <w:rsid w:val="00490C05"/>
    <w:rsid w:val="00490F1F"/>
    <w:rsid w:val="00491299"/>
    <w:rsid w:val="004918D7"/>
    <w:rsid w:val="004935E6"/>
    <w:rsid w:val="004938AC"/>
    <w:rsid w:val="00493C0A"/>
    <w:rsid w:val="00497E63"/>
    <w:rsid w:val="004A013D"/>
    <w:rsid w:val="004A353E"/>
    <w:rsid w:val="004A37B3"/>
    <w:rsid w:val="004A50AE"/>
    <w:rsid w:val="004A55B6"/>
    <w:rsid w:val="004A677B"/>
    <w:rsid w:val="004A68F3"/>
    <w:rsid w:val="004A6950"/>
    <w:rsid w:val="004A6C9B"/>
    <w:rsid w:val="004A6CE0"/>
    <w:rsid w:val="004A6D2E"/>
    <w:rsid w:val="004B069E"/>
    <w:rsid w:val="004B146A"/>
    <w:rsid w:val="004B3156"/>
    <w:rsid w:val="004B3D7A"/>
    <w:rsid w:val="004B47C4"/>
    <w:rsid w:val="004B5065"/>
    <w:rsid w:val="004B57AC"/>
    <w:rsid w:val="004B5FDD"/>
    <w:rsid w:val="004B6CA3"/>
    <w:rsid w:val="004C0847"/>
    <w:rsid w:val="004C0870"/>
    <w:rsid w:val="004C0921"/>
    <w:rsid w:val="004C0D2C"/>
    <w:rsid w:val="004C17B7"/>
    <w:rsid w:val="004C1C37"/>
    <w:rsid w:val="004C20C6"/>
    <w:rsid w:val="004C27C4"/>
    <w:rsid w:val="004C2CE9"/>
    <w:rsid w:val="004C3013"/>
    <w:rsid w:val="004C64C3"/>
    <w:rsid w:val="004C7300"/>
    <w:rsid w:val="004C7553"/>
    <w:rsid w:val="004C7C54"/>
    <w:rsid w:val="004D01B8"/>
    <w:rsid w:val="004D01C4"/>
    <w:rsid w:val="004D1154"/>
    <w:rsid w:val="004D12F5"/>
    <w:rsid w:val="004D2093"/>
    <w:rsid w:val="004D213E"/>
    <w:rsid w:val="004D4639"/>
    <w:rsid w:val="004D5004"/>
    <w:rsid w:val="004D7261"/>
    <w:rsid w:val="004E173E"/>
    <w:rsid w:val="004E25FB"/>
    <w:rsid w:val="004E2780"/>
    <w:rsid w:val="004E2C70"/>
    <w:rsid w:val="004E3359"/>
    <w:rsid w:val="004E3A5B"/>
    <w:rsid w:val="004E3C69"/>
    <w:rsid w:val="004E44A2"/>
    <w:rsid w:val="004E4E6C"/>
    <w:rsid w:val="004E5072"/>
    <w:rsid w:val="004E5EB7"/>
    <w:rsid w:val="004E5F87"/>
    <w:rsid w:val="004E65BA"/>
    <w:rsid w:val="004E7A6C"/>
    <w:rsid w:val="004F01AC"/>
    <w:rsid w:val="004F0739"/>
    <w:rsid w:val="004F17FB"/>
    <w:rsid w:val="004F2362"/>
    <w:rsid w:val="004F2473"/>
    <w:rsid w:val="004F2588"/>
    <w:rsid w:val="004F2D70"/>
    <w:rsid w:val="004F2E4B"/>
    <w:rsid w:val="004F32FD"/>
    <w:rsid w:val="004F382A"/>
    <w:rsid w:val="004F3B07"/>
    <w:rsid w:val="004F3DC2"/>
    <w:rsid w:val="004F4336"/>
    <w:rsid w:val="004F5B1D"/>
    <w:rsid w:val="004F5EC0"/>
    <w:rsid w:val="004F6130"/>
    <w:rsid w:val="004F7FE2"/>
    <w:rsid w:val="005007BE"/>
    <w:rsid w:val="00503003"/>
    <w:rsid w:val="005036DE"/>
    <w:rsid w:val="00504818"/>
    <w:rsid w:val="00504ACE"/>
    <w:rsid w:val="00505005"/>
    <w:rsid w:val="00505755"/>
    <w:rsid w:val="00505BE0"/>
    <w:rsid w:val="00505CB8"/>
    <w:rsid w:val="00506C2F"/>
    <w:rsid w:val="00511897"/>
    <w:rsid w:val="00511927"/>
    <w:rsid w:val="0051265E"/>
    <w:rsid w:val="00512D19"/>
    <w:rsid w:val="0051333D"/>
    <w:rsid w:val="00514814"/>
    <w:rsid w:val="00515BC5"/>
    <w:rsid w:val="00517333"/>
    <w:rsid w:val="0051763A"/>
    <w:rsid w:val="00520546"/>
    <w:rsid w:val="005222D0"/>
    <w:rsid w:val="0052355B"/>
    <w:rsid w:val="00524A2A"/>
    <w:rsid w:val="00525F25"/>
    <w:rsid w:val="005265A1"/>
    <w:rsid w:val="00526687"/>
    <w:rsid w:val="0052723A"/>
    <w:rsid w:val="005273A5"/>
    <w:rsid w:val="00527699"/>
    <w:rsid w:val="00527E54"/>
    <w:rsid w:val="005311F1"/>
    <w:rsid w:val="00531513"/>
    <w:rsid w:val="00531693"/>
    <w:rsid w:val="00531B01"/>
    <w:rsid w:val="00532EBF"/>
    <w:rsid w:val="005342ED"/>
    <w:rsid w:val="005353F0"/>
    <w:rsid w:val="00535B8B"/>
    <w:rsid w:val="00535F0C"/>
    <w:rsid w:val="00537037"/>
    <w:rsid w:val="00537421"/>
    <w:rsid w:val="005401BF"/>
    <w:rsid w:val="00540245"/>
    <w:rsid w:val="00540335"/>
    <w:rsid w:val="00540C6E"/>
    <w:rsid w:val="005425D0"/>
    <w:rsid w:val="00542BF4"/>
    <w:rsid w:val="005449F5"/>
    <w:rsid w:val="0054700E"/>
    <w:rsid w:val="00547860"/>
    <w:rsid w:val="00550117"/>
    <w:rsid w:val="00550967"/>
    <w:rsid w:val="00550C54"/>
    <w:rsid w:val="00550F3E"/>
    <w:rsid w:val="0055202E"/>
    <w:rsid w:val="00552197"/>
    <w:rsid w:val="005537E8"/>
    <w:rsid w:val="00554B8F"/>
    <w:rsid w:val="00555766"/>
    <w:rsid w:val="0055635D"/>
    <w:rsid w:val="0055672B"/>
    <w:rsid w:val="005603D7"/>
    <w:rsid w:val="0056059B"/>
    <w:rsid w:val="00562870"/>
    <w:rsid w:val="00563B23"/>
    <w:rsid w:val="00563B92"/>
    <w:rsid w:val="0056445C"/>
    <w:rsid w:val="005646A3"/>
    <w:rsid w:val="00565B88"/>
    <w:rsid w:val="00565FBC"/>
    <w:rsid w:val="005708E4"/>
    <w:rsid w:val="005711F7"/>
    <w:rsid w:val="00571BAA"/>
    <w:rsid w:val="00572253"/>
    <w:rsid w:val="0057237C"/>
    <w:rsid w:val="005728E0"/>
    <w:rsid w:val="005731EB"/>
    <w:rsid w:val="00573625"/>
    <w:rsid w:val="00573F2A"/>
    <w:rsid w:val="00573F9F"/>
    <w:rsid w:val="00574504"/>
    <w:rsid w:val="0057494A"/>
    <w:rsid w:val="005749D4"/>
    <w:rsid w:val="00574C16"/>
    <w:rsid w:val="005753EF"/>
    <w:rsid w:val="00576A61"/>
    <w:rsid w:val="00577337"/>
    <w:rsid w:val="00577B0E"/>
    <w:rsid w:val="005803B8"/>
    <w:rsid w:val="00580D64"/>
    <w:rsid w:val="00581653"/>
    <w:rsid w:val="005820CE"/>
    <w:rsid w:val="00582AEF"/>
    <w:rsid w:val="005830C0"/>
    <w:rsid w:val="00583643"/>
    <w:rsid w:val="00583BA0"/>
    <w:rsid w:val="00583F18"/>
    <w:rsid w:val="005849C6"/>
    <w:rsid w:val="0058562C"/>
    <w:rsid w:val="00590083"/>
    <w:rsid w:val="00591A46"/>
    <w:rsid w:val="005922CC"/>
    <w:rsid w:val="005939B6"/>
    <w:rsid w:val="00593B5D"/>
    <w:rsid w:val="005947CC"/>
    <w:rsid w:val="005948E2"/>
    <w:rsid w:val="005961E4"/>
    <w:rsid w:val="0059713A"/>
    <w:rsid w:val="005972C3"/>
    <w:rsid w:val="005A096B"/>
    <w:rsid w:val="005A2B5F"/>
    <w:rsid w:val="005A37CF"/>
    <w:rsid w:val="005A3986"/>
    <w:rsid w:val="005A40CD"/>
    <w:rsid w:val="005A4E62"/>
    <w:rsid w:val="005A53BD"/>
    <w:rsid w:val="005A5C4B"/>
    <w:rsid w:val="005A5F57"/>
    <w:rsid w:val="005A5F83"/>
    <w:rsid w:val="005A76BF"/>
    <w:rsid w:val="005B04C8"/>
    <w:rsid w:val="005B0587"/>
    <w:rsid w:val="005B09B5"/>
    <w:rsid w:val="005B192D"/>
    <w:rsid w:val="005B1976"/>
    <w:rsid w:val="005B229D"/>
    <w:rsid w:val="005B286E"/>
    <w:rsid w:val="005B2D60"/>
    <w:rsid w:val="005B35CA"/>
    <w:rsid w:val="005B3A79"/>
    <w:rsid w:val="005B3B3F"/>
    <w:rsid w:val="005B67B5"/>
    <w:rsid w:val="005B7593"/>
    <w:rsid w:val="005B78EF"/>
    <w:rsid w:val="005C11E6"/>
    <w:rsid w:val="005C1992"/>
    <w:rsid w:val="005C1ECB"/>
    <w:rsid w:val="005C258A"/>
    <w:rsid w:val="005C2F19"/>
    <w:rsid w:val="005C39F7"/>
    <w:rsid w:val="005C4435"/>
    <w:rsid w:val="005C6A41"/>
    <w:rsid w:val="005C6D9F"/>
    <w:rsid w:val="005C717E"/>
    <w:rsid w:val="005C71D4"/>
    <w:rsid w:val="005C75E4"/>
    <w:rsid w:val="005C76CE"/>
    <w:rsid w:val="005C78E5"/>
    <w:rsid w:val="005D0258"/>
    <w:rsid w:val="005D095A"/>
    <w:rsid w:val="005D0B66"/>
    <w:rsid w:val="005D1E4B"/>
    <w:rsid w:val="005D2010"/>
    <w:rsid w:val="005D2A92"/>
    <w:rsid w:val="005D300B"/>
    <w:rsid w:val="005D36B2"/>
    <w:rsid w:val="005D3A74"/>
    <w:rsid w:val="005D3EEC"/>
    <w:rsid w:val="005D48D3"/>
    <w:rsid w:val="005D5C3D"/>
    <w:rsid w:val="005D6FED"/>
    <w:rsid w:val="005D7D7A"/>
    <w:rsid w:val="005E0035"/>
    <w:rsid w:val="005E0647"/>
    <w:rsid w:val="005E1BDB"/>
    <w:rsid w:val="005E2CE1"/>
    <w:rsid w:val="005E4AAB"/>
    <w:rsid w:val="005E4AAE"/>
    <w:rsid w:val="005E4CAB"/>
    <w:rsid w:val="005E4EB5"/>
    <w:rsid w:val="005E50F3"/>
    <w:rsid w:val="005E5D49"/>
    <w:rsid w:val="005E5E93"/>
    <w:rsid w:val="005E6334"/>
    <w:rsid w:val="005E7990"/>
    <w:rsid w:val="005E7E51"/>
    <w:rsid w:val="005F2036"/>
    <w:rsid w:val="005F2368"/>
    <w:rsid w:val="005F33C2"/>
    <w:rsid w:val="005F3537"/>
    <w:rsid w:val="005F367E"/>
    <w:rsid w:val="005F3EB5"/>
    <w:rsid w:val="005F3FAE"/>
    <w:rsid w:val="005F4121"/>
    <w:rsid w:val="005F5664"/>
    <w:rsid w:val="005F5FFE"/>
    <w:rsid w:val="005F6092"/>
    <w:rsid w:val="005F776D"/>
    <w:rsid w:val="005F7DC6"/>
    <w:rsid w:val="006009B2"/>
    <w:rsid w:val="006018A3"/>
    <w:rsid w:val="00602E41"/>
    <w:rsid w:val="006032BE"/>
    <w:rsid w:val="006037F6"/>
    <w:rsid w:val="006038A9"/>
    <w:rsid w:val="00605EC3"/>
    <w:rsid w:val="0060618D"/>
    <w:rsid w:val="00610416"/>
    <w:rsid w:val="00611918"/>
    <w:rsid w:val="00612274"/>
    <w:rsid w:val="00613B18"/>
    <w:rsid w:val="00614BDB"/>
    <w:rsid w:val="0061779D"/>
    <w:rsid w:val="00621A7F"/>
    <w:rsid w:val="0062318D"/>
    <w:rsid w:val="006233F3"/>
    <w:rsid w:val="00623AE5"/>
    <w:rsid w:val="00623AF8"/>
    <w:rsid w:val="006245C7"/>
    <w:rsid w:val="00624EB7"/>
    <w:rsid w:val="00625E93"/>
    <w:rsid w:val="00625EE4"/>
    <w:rsid w:val="00626E0C"/>
    <w:rsid w:val="0062716A"/>
    <w:rsid w:val="0062729D"/>
    <w:rsid w:val="0062759C"/>
    <w:rsid w:val="00630744"/>
    <w:rsid w:val="00630996"/>
    <w:rsid w:val="00630FA5"/>
    <w:rsid w:val="00632622"/>
    <w:rsid w:val="00632819"/>
    <w:rsid w:val="00634092"/>
    <w:rsid w:val="00634A13"/>
    <w:rsid w:val="00635755"/>
    <w:rsid w:val="00636DD5"/>
    <w:rsid w:val="00637B2F"/>
    <w:rsid w:val="00640168"/>
    <w:rsid w:val="006447B9"/>
    <w:rsid w:val="00645843"/>
    <w:rsid w:val="00645DC2"/>
    <w:rsid w:val="0064758D"/>
    <w:rsid w:val="00650186"/>
    <w:rsid w:val="006501FE"/>
    <w:rsid w:val="006501FF"/>
    <w:rsid w:val="00650224"/>
    <w:rsid w:val="006504CF"/>
    <w:rsid w:val="006509B1"/>
    <w:rsid w:val="006513CB"/>
    <w:rsid w:val="006515EC"/>
    <w:rsid w:val="00651F7C"/>
    <w:rsid w:val="00652092"/>
    <w:rsid w:val="00652BAB"/>
    <w:rsid w:val="0065300E"/>
    <w:rsid w:val="00653F82"/>
    <w:rsid w:val="00656231"/>
    <w:rsid w:val="00656250"/>
    <w:rsid w:val="00656990"/>
    <w:rsid w:val="00656EBB"/>
    <w:rsid w:val="00657507"/>
    <w:rsid w:val="00660D8C"/>
    <w:rsid w:val="00660EF9"/>
    <w:rsid w:val="00661589"/>
    <w:rsid w:val="006615CA"/>
    <w:rsid w:val="006625E8"/>
    <w:rsid w:val="00662648"/>
    <w:rsid w:val="0066364A"/>
    <w:rsid w:val="00663698"/>
    <w:rsid w:val="00663DD5"/>
    <w:rsid w:val="00664430"/>
    <w:rsid w:val="00665705"/>
    <w:rsid w:val="0066596B"/>
    <w:rsid w:val="00670C17"/>
    <w:rsid w:val="00670F57"/>
    <w:rsid w:val="006721A4"/>
    <w:rsid w:val="006723CF"/>
    <w:rsid w:val="006739BE"/>
    <w:rsid w:val="00673B1C"/>
    <w:rsid w:val="00674116"/>
    <w:rsid w:val="00674888"/>
    <w:rsid w:val="006749E8"/>
    <w:rsid w:val="00674DAB"/>
    <w:rsid w:val="0067514B"/>
    <w:rsid w:val="00675529"/>
    <w:rsid w:val="00675EF7"/>
    <w:rsid w:val="0067682B"/>
    <w:rsid w:val="00677ACF"/>
    <w:rsid w:val="00680C58"/>
    <w:rsid w:val="00680E2F"/>
    <w:rsid w:val="00680F44"/>
    <w:rsid w:val="006811AD"/>
    <w:rsid w:val="006821F6"/>
    <w:rsid w:val="00682513"/>
    <w:rsid w:val="00683C2D"/>
    <w:rsid w:val="006854C9"/>
    <w:rsid w:val="00685936"/>
    <w:rsid w:val="00686309"/>
    <w:rsid w:val="00687619"/>
    <w:rsid w:val="006909E9"/>
    <w:rsid w:val="00690B23"/>
    <w:rsid w:val="00690ECF"/>
    <w:rsid w:val="00691859"/>
    <w:rsid w:val="00691B2D"/>
    <w:rsid w:val="00692980"/>
    <w:rsid w:val="00693DF5"/>
    <w:rsid w:val="00694AD9"/>
    <w:rsid w:val="00694BE5"/>
    <w:rsid w:val="00695593"/>
    <w:rsid w:val="006956F8"/>
    <w:rsid w:val="006977D7"/>
    <w:rsid w:val="00697E14"/>
    <w:rsid w:val="00697F71"/>
    <w:rsid w:val="006A0193"/>
    <w:rsid w:val="006A057C"/>
    <w:rsid w:val="006A07AE"/>
    <w:rsid w:val="006A45FE"/>
    <w:rsid w:val="006A4F47"/>
    <w:rsid w:val="006A4F7E"/>
    <w:rsid w:val="006A5912"/>
    <w:rsid w:val="006A6415"/>
    <w:rsid w:val="006A68F2"/>
    <w:rsid w:val="006A7114"/>
    <w:rsid w:val="006A716C"/>
    <w:rsid w:val="006A750F"/>
    <w:rsid w:val="006B0A6D"/>
    <w:rsid w:val="006B11DF"/>
    <w:rsid w:val="006B2479"/>
    <w:rsid w:val="006B2544"/>
    <w:rsid w:val="006B2666"/>
    <w:rsid w:val="006B34F8"/>
    <w:rsid w:val="006B3554"/>
    <w:rsid w:val="006B3C17"/>
    <w:rsid w:val="006B3E7C"/>
    <w:rsid w:val="006B4306"/>
    <w:rsid w:val="006B4922"/>
    <w:rsid w:val="006B4D78"/>
    <w:rsid w:val="006B4DC1"/>
    <w:rsid w:val="006B4FF4"/>
    <w:rsid w:val="006B52B5"/>
    <w:rsid w:val="006B5870"/>
    <w:rsid w:val="006B63A9"/>
    <w:rsid w:val="006B63AE"/>
    <w:rsid w:val="006B6964"/>
    <w:rsid w:val="006B7908"/>
    <w:rsid w:val="006C0064"/>
    <w:rsid w:val="006C082D"/>
    <w:rsid w:val="006C0F73"/>
    <w:rsid w:val="006C0FCE"/>
    <w:rsid w:val="006C1300"/>
    <w:rsid w:val="006C144E"/>
    <w:rsid w:val="006C1A77"/>
    <w:rsid w:val="006C1AC4"/>
    <w:rsid w:val="006C203F"/>
    <w:rsid w:val="006C2DDC"/>
    <w:rsid w:val="006C39AB"/>
    <w:rsid w:val="006C4577"/>
    <w:rsid w:val="006C539A"/>
    <w:rsid w:val="006C5C31"/>
    <w:rsid w:val="006C5E62"/>
    <w:rsid w:val="006C6B1F"/>
    <w:rsid w:val="006C7144"/>
    <w:rsid w:val="006C7EE4"/>
    <w:rsid w:val="006C7F2F"/>
    <w:rsid w:val="006D01F9"/>
    <w:rsid w:val="006D3D8B"/>
    <w:rsid w:val="006D3F61"/>
    <w:rsid w:val="006D43FF"/>
    <w:rsid w:val="006D4CF1"/>
    <w:rsid w:val="006D55AB"/>
    <w:rsid w:val="006D567B"/>
    <w:rsid w:val="006D5F8B"/>
    <w:rsid w:val="006D60B6"/>
    <w:rsid w:val="006D6100"/>
    <w:rsid w:val="006D78F5"/>
    <w:rsid w:val="006E0144"/>
    <w:rsid w:val="006E0335"/>
    <w:rsid w:val="006E0DC8"/>
    <w:rsid w:val="006E2064"/>
    <w:rsid w:val="006E4692"/>
    <w:rsid w:val="006E46A9"/>
    <w:rsid w:val="006E5481"/>
    <w:rsid w:val="006E58F3"/>
    <w:rsid w:val="006E63CE"/>
    <w:rsid w:val="006E7650"/>
    <w:rsid w:val="006E7A3A"/>
    <w:rsid w:val="006E7C64"/>
    <w:rsid w:val="006F178E"/>
    <w:rsid w:val="006F1BBF"/>
    <w:rsid w:val="006F1CB3"/>
    <w:rsid w:val="006F21B9"/>
    <w:rsid w:val="006F4E42"/>
    <w:rsid w:val="006F546D"/>
    <w:rsid w:val="006F78E1"/>
    <w:rsid w:val="007021ED"/>
    <w:rsid w:val="007026BB"/>
    <w:rsid w:val="00702A33"/>
    <w:rsid w:val="00703BA1"/>
    <w:rsid w:val="00703EA5"/>
    <w:rsid w:val="0070405D"/>
    <w:rsid w:val="0070491E"/>
    <w:rsid w:val="00704C7B"/>
    <w:rsid w:val="00705609"/>
    <w:rsid w:val="007059FB"/>
    <w:rsid w:val="00706043"/>
    <w:rsid w:val="00706046"/>
    <w:rsid w:val="007065C7"/>
    <w:rsid w:val="00706767"/>
    <w:rsid w:val="00707644"/>
    <w:rsid w:val="007076C1"/>
    <w:rsid w:val="0070782E"/>
    <w:rsid w:val="007107E5"/>
    <w:rsid w:val="00710B7E"/>
    <w:rsid w:val="007120A5"/>
    <w:rsid w:val="00713843"/>
    <w:rsid w:val="007138A8"/>
    <w:rsid w:val="007141DE"/>
    <w:rsid w:val="007144A3"/>
    <w:rsid w:val="007144DE"/>
    <w:rsid w:val="00715F1E"/>
    <w:rsid w:val="00715F4A"/>
    <w:rsid w:val="007161BC"/>
    <w:rsid w:val="00716393"/>
    <w:rsid w:val="007165DD"/>
    <w:rsid w:val="007169E2"/>
    <w:rsid w:val="00716F3C"/>
    <w:rsid w:val="00720F09"/>
    <w:rsid w:val="007225BB"/>
    <w:rsid w:val="00722608"/>
    <w:rsid w:val="00723DE9"/>
    <w:rsid w:val="00723F5B"/>
    <w:rsid w:val="00724C54"/>
    <w:rsid w:val="00724E7D"/>
    <w:rsid w:val="00725688"/>
    <w:rsid w:val="00727733"/>
    <w:rsid w:val="007311AB"/>
    <w:rsid w:val="00731548"/>
    <w:rsid w:val="00731CEB"/>
    <w:rsid w:val="00732FFC"/>
    <w:rsid w:val="0073311E"/>
    <w:rsid w:val="00733E31"/>
    <w:rsid w:val="00734160"/>
    <w:rsid w:val="00734457"/>
    <w:rsid w:val="007348A5"/>
    <w:rsid w:val="00735389"/>
    <w:rsid w:val="007362AB"/>
    <w:rsid w:val="00736C9F"/>
    <w:rsid w:val="00737A44"/>
    <w:rsid w:val="00737A97"/>
    <w:rsid w:val="007428B3"/>
    <w:rsid w:val="00743453"/>
    <w:rsid w:val="007438C8"/>
    <w:rsid w:val="00744E52"/>
    <w:rsid w:val="00744F54"/>
    <w:rsid w:val="00745308"/>
    <w:rsid w:val="00745A50"/>
    <w:rsid w:val="00745F2A"/>
    <w:rsid w:val="007466FD"/>
    <w:rsid w:val="00746A95"/>
    <w:rsid w:val="00746F92"/>
    <w:rsid w:val="0074753F"/>
    <w:rsid w:val="0074754F"/>
    <w:rsid w:val="007475DD"/>
    <w:rsid w:val="0075075A"/>
    <w:rsid w:val="00750980"/>
    <w:rsid w:val="00750D3F"/>
    <w:rsid w:val="007525B1"/>
    <w:rsid w:val="007533C0"/>
    <w:rsid w:val="00756B0C"/>
    <w:rsid w:val="0075791B"/>
    <w:rsid w:val="007609FA"/>
    <w:rsid w:val="007625E6"/>
    <w:rsid w:val="007628B1"/>
    <w:rsid w:val="00762C17"/>
    <w:rsid w:val="00763003"/>
    <w:rsid w:val="007643F7"/>
    <w:rsid w:val="00765E53"/>
    <w:rsid w:val="00767500"/>
    <w:rsid w:val="00767974"/>
    <w:rsid w:val="00770371"/>
    <w:rsid w:val="007721F9"/>
    <w:rsid w:val="00772390"/>
    <w:rsid w:val="0077500F"/>
    <w:rsid w:val="00775137"/>
    <w:rsid w:val="007754A9"/>
    <w:rsid w:val="007764F2"/>
    <w:rsid w:val="00776649"/>
    <w:rsid w:val="00776807"/>
    <w:rsid w:val="00776ACC"/>
    <w:rsid w:val="00776F6E"/>
    <w:rsid w:val="00777670"/>
    <w:rsid w:val="007776F0"/>
    <w:rsid w:val="007778B7"/>
    <w:rsid w:val="0078044D"/>
    <w:rsid w:val="00781A1A"/>
    <w:rsid w:val="00781FC9"/>
    <w:rsid w:val="00782EF9"/>
    <w:rsid w:val="007833B7"/>
    <w:rsid w:val="0078389C"/>
    <w:rsid w:val="00783D7D"/>
    <w:rsid w:val="00784A65"/>
    <w:rsid w:val="00790DCB"/>
    <w:rsid w:val="00791364"/>
    <w:rsid w:val="00791EEE"/>
    <w:rsid w:val="0079409A"/>
    <w:rsid w:val="007943B5"/>
    <w:rsid w:val="0079510C"/>
    <w:rsid w:val="00796335"/>
    <w:rsid w:val="0079636D"/>
    <w:rsid w:val="007969FA"/>
    <w:rsid w:val="00796BC9"/>
    <w:rsid w:val="00797019"/>
    <w:rsid w:val="00797BE1"/>
    <w:rsid w:val="007A097D"/>
    <w:rsid w:val="007A0FC3"/>
    <w:rsid w:val="007A1C8E"/>
    <w:rsid w:val="007A2942"/>
    <w:rsid w:val="007A33F9"/>
    <w:rsid w:val="007A41C8"/>
    <w:rsid w:val="007A4248"/>
    <w:rsid w:val="007A4874"/>
    <w:rsid w:val="007A4F79"/>
    <w:rsid w:val="007A4FAB"/>
    <w:rsid w:val="007A50CA"/>
    <w:rsid w:val="007A59D5"/>
    <w:rsid w:val="007A5ED7"/>
    <w:rsid w:val="007A61BD"/>
    <w:rsid w:val="007A65EC"/>
    <w:rsid w:val="007A673D"/>
    <w:rsid w:val="007A7EA6"/>
    <w:rsid w:val="007B014D"/>
    <w:rsid w:val="007B15B6"/>
    <w:rsid w:val="007B37D9"/>
    <w:rsid w:val="007B4342"/>
    <w:rsid w:val="007B436B"/>
    <w:rsid w:val="007B55D2"/>
    <w:rsid w:val="007B5D81"/>
    <w:rsid w:val="007B69CF"/>
    <w:rsid w:val="007B6CE6"/>
    <w:rsid w:val="007B6ECD"/>
    <w:rsid w:val="007B7949"/>
    <w:rsid w:val="007B7DD9"/>
    <w:rsid w:val="007C038A"/>
    <w:rsid w:val="007C10DD"/>
    <w:rsid w:val="007C119A"/>
    <w:rsid w:val="007C12B6"/>
    <w:rsid w:val="007C15A2"/>
    <w:rsid w:val="007C21CA"/>
    <w:rsid w:val="007C22FD"/>
    <w:rsid w:val="007C545F"/>
    <w:rsid w:val="007C5A9D"/>
    <w:rsid w:val="007C5D35"/>
    <w:rsid w:val="007C624A"/>
    <w:rsid w:val="007C7449"/>
    <w:rsid w:val="007C7698"/>
    <w:rsid w:val="007D0440"/>
    <w:rsid w:val="007D0F6D"/>
    <w:rsid w:val="007D13A2"/>
    <w:rsid w:val="007D28D7"/>
    <w:rsid w:val="007D2951"/>
    <w:rsid w:val="007D2B19"/>
    <w:rsid w:val="007D324A"/>
    <w:rsid w:val="007D43DC"/>
    <w:rsid w:val="007D4D63"/>
    <w:rsid w:val="007D4FEB"/>
    <w:rsid w:val="007D50D4"/>
    <w:rsid w:val="007D6DDE"/>
    <w:rsid w:val="007E09C9"/>
    <w:rsid w:val="007E0A9B"/>
    <w:rsid w:val="007E0B5D"/>
    <w:rsid w:val="007E103F"/>
    <w:rsid w:val="007E17E0"/>
    <w:rsid w:val="007E283B"/>
    <w:rsid w:val="007E2BA4"/>
    <w:rsid w:val="007E34F5"/>
    <w:rsid w:val="007E3ECE"/>
    <w:rsid w:val="007E54F2"/>
    <w:rsid w:val="007E6C7B"/>
    <w:rsid w:val="007E7E57"/>
    <w:rsid w:val="007E7FE9"/>
    <w:rsid w:val="007F0CBD"/>
    <w:rsid w:val="007F3490"/>
    <w:rsid w:val="007F3CBF"/>
    <w:rsid w:val="007F4727"/>
    <w:rsid w:val="007F4E3F"/>
    <w:rsid w:val="007F4FAA"/>
    <w:rsid w:val="007F534B"/>
    <w:rsid w:val="007F5E24"/>
    <w:rsid w:val="007F61F7"/>
    <w:rsid w:val="007F6D97"/>
    <w:rsid w:val="00800A30"/>
    <w:rsid w:val="008017D4"/>
    <w:rsid w:val="00801D16"/>
    <w:rsid w:val="00803F5F"/>
    <w:rsid w:val="0080591E"/>
    <w:rsid w:val="00806705"/>
    <w:rsid w:val="00806B29"/>
    <w:rsid w:val="00807A06"/>
    <w:rsid w:val="00807EEE"/>
    <w:rsid w:val="0081018D"/>
    <w:rsid w:val="0081090F"/>
    <w:rsid w:val="00810DF0"/>
    <w:rsid w:val="0081129E"/>
    <w:rsid w:val="00811301"/>
    <w:rsid w:val="00811FBB"/>
    <w:rsid w:val="00814A93"/>
    <w:rsid w:val="00814F2C"/>
    <w:rsid w:val="00814F70"/>
    <w:rsid w:val="00815030"/>
    <w:rsid w:val="00815057"/>
    <w:rsid w:val="0081542F"/>
    <w:rsid w:val="00815F3F"/>
    <w:rsid w:val="008160F3"/>
    <w:rsid w:val="008164AE"/>
    <w:rsid w:val="00817195"/>
    <w:rsid w:val="00817262"/>
    <w:rsid w:val="00817696"/>
    <w:rsid w:val="008178DD"/>
    <w:rsid w:val="00817D8E"/>
    <w:rsid w:val="00817DAC"/>
    <w:rsid w:val="00820DB7"/>
    <w:rsid w:val="008211B2"/>
    <w:rsid w:val="008218D5"/>
    <w:rsid w:val="008225B4"/>
    <w:rsid w:val="00823784"/>
    <w:rsid w:val="00823D30"/>
    <w:rsid w:val="00823FD0"/>
    <w:rsid w:val="008248D7"/>
    <w:rsid w:val="00825094"/>
    <w:rsid w:val="00825335"/>
    <w:rsid w:val="00825354"/>
    <w:rsid w:val="0082597A"/>
    <w:rsid w:val="0082664D"/>
    <w:rsid w:val="0082676D"/>
    <w:rsid w:val="008267D3"/>
    <w:rsid w:val="00826CE7"/>
    <w:rsid w:val="00827FAD"/>
    <w:rsid w:val="00830C9F"/>
    <w:rsid w:val="0083179B"/>
    <w:rsid w:val="00831A30"/>
    <w:rsid w:val="00832393"/>
    <w:rsid w:val="008328A3"/>
    <w:rsid w:val="00832DF0"/>
    <w:rsid w:val="008334F7"/>
    <w:rsid w:val="0083350C"/>
    <w:rsid w:val="0083368B"/>
    <w:rsid w:val="00835AA4"/>
    <w:rsid w:val="00835C92"/>
    <w:rsid w:val="00836797"/>
    <w:rsid w:val="00836B70"/>
    <w:rsid w:val="008371A8"/>
    <w:rsid w:val="008373BE"/>
    <w:rsid w:val="00840A5B"/>
    <w:rsid w:val="008417B8"/>
    <w:rsid w:val="00843B52"/>
    <w:rsid w:val="00843E73"/>
    <w:rsid w:val="00844A03"/>
    <w:rsid w:val="00845984"/>
    <w:rsid w:val="0084696D"/>
    <w:rsid w:val="00846979"/>
    <w:rsid w:val="00846C10"/>
    <w:rsid w:val="008472F1"/>
    <w:rsid w:val="00851205"/>
    <w:rsid w:val="00852477"/>
    <w:rsid w:val="008537F5"/>
    <w:rsid w:val="008546A0"/>
    <w:rsid w:val="00854979"/>
    <w:rsid w:val="0085546B"/>
    <w:rsid w:val="0085606D"/>
    <w:rsid w:val="00860425"/>
    <w:rsid w:val="008611EE"/>
    <w:rsid w:val="00861ACD"/>
    <w:rsid w:val="0086213C"/>
    <w:rsid w:val="00864727"/>
    <w:rsid w:val="00864D86"/>
    <w:rsid w:val="00864EDC"/>
    <w:rsid w:val="00865D5A"/>
    <w:rsid w:val="008665B7"/>
    <w:rsid w:val="00866D44"/>
    <w:rsid w:val="008674C1"/>
    <w:rsid w:val="00867B9C"/>
    <w:rsid w:val="00867C7A"/>
    <w:rsid w:val="00867DBC"/>
    <w:rsid w:val="00867DCE"/>
    <w:rsid w:val="00867F97"/>
    <w:rsid w:val="00870737"/>
    <w:rsid w:val="0087140B"/>
    <w:rsid w:val="00871497"/>
    <w:rsid w:val="00871F46"/>
    <w:rsid w:val="00873156"/>
    <w:rsid w:val="00873399"/>
    <w:rsid w:val="008739CB"/>
    <w:rsid w:val="00873B15"/>
    <w:rsid w:val="00875368"/>
    <w:rsid w:val="008755B2"/>
    <w:rsid w:val="008757F5"/>
    <w:rsid w:val="00875AA8"/>
    <w:rsid w:val="00875CB0"/>
    <w:rsid w:val="00875D34"/>
    <w:rsid w:val="00876012"/>
    <w:rsid w:val="0087664E"/>
    <w:rsid w:val="00876F70"/>
    <w:rsid w:val="00880712"/>
    <w:rsid w:val="00880F5A"/>
    <w:rsid w:val="00881ADA"/>
    <w:rsid w:val="00882B29"/>
    <w:rsid w:val="00883AA3"/>
    <w:rsid w:val="00883B48"/>
    <w:rsid w:val="0088438A"/>
    <w:rsid w:val="0088565C"/>
    <w:rsid w:val="00885DE8"/>
    <w:rsid w:val="00886306"/>
    <w:rsid w:val="008866E1"/>
    <w:rsid w:val="008875F9"/>
    <w:rsid w:val="00892FD3"/>
    <w:rsid w:val="00893464"/>
    <w:rsid w:val="00893DDB"/>
    <w:rsid w:val="00893E94"/>
    <w:rsid w:val="00894B83"/>
    <w:rsid w:val="008955B0"/>
    <w:rsid w:val="0089572E"/>
    <w:rsid w:val="00895898"/>
    <w:rsid w:val="00895F46"/>
    <w:rsid w:val="00897D8C"/>
    <w:rsid w:val="008A1FF8"/>
    <w:rsid w:val="008A4365"/>
    <w:rsid w:val="008B05FE"/>
    <w:rsid w:val="008B0A08"/>
    <w:rsid w:val="008B17B4"/>
    <w:rsid w:val="008B1D77"/>
    <w:rsid w:val="008B1F9A"/>
    <w:rsid w:val="008B20E8"/>
    <w:rsid w:val="008B338D"/>
    <w:rsid w:val="008B3583"/>
    <w:rsid w:val="008B46FD"/>
    <w:rsid w:val="008B4747"/>
    <w:rsid w:val="008B498E"/>
    <w:rsid w:val="008B5F85"/>
    <w:rsid w:val="008B6186"/>
    <w:rsid w:val="008C0082"/>
    <w:rsid w:val="008C014A"/>
    <w:rsid w:val="008C0577"/>
    <w:rsid w:val="008C08F1"/>
    <w:rsid w:val="008C37EE"/>
    <w:rsid w:val="008C4F0C"/>
    <w:rsid w:val="008C50F1"/>
    <w:rsid w:val="008C6BFF"/>
    <w:rsid w:val="008C77CB"/>
    <w:rsid w:val="008D1D17"/>
    <w:rsid w:val="008D2A34"/>
    <w:rsid w:val="008D2B06"/>
    <w:rsid w:val="008D2D02"/>
    <w:rsid w:val="008D304E"/>
    <w:rsid w:val="008D5538"/>
    <w:rsid w:val="008D59A5"/>
    <w:rsid w:val="008D6AFB"/>
    <w:rsid w:val="008D703F"/>
    <w:rsid w:val="008D75F1"/>
    <w:rsid w:val="008E1AB1"/>
    <w:rsid w:val="008E29FF"/>
    <w:rsid w:val="008E2A68"/>
    <w:rsid w:val="008E2EF4"/>
    <w:rsid w:val="008E303D"/>
    <w:rsid w:val="008E34F9"/>
    <w:rsid w:val="008E3E9A"/>
    <w:rsid w:val="008E41B5"/>
    <w:rsid w:val="008E4467"/>
    <w:rsid w:val="008E486F"/>
    <w:rsid w:val="008E4EE4"/>
    <w:rsid w:val="008E52B9"/>
    <w:rsid w:val="008E6272"/>
    <w:rsid w:val="008E6A13"/>
    <w:rsid w:val="008E7866"/>
    <w:rsid w:val="008E794D"/>
    <w:rsid w:val="008E7CBE"/>
    <w:rsid w:val="008F1245"/>
    <w:rsid w:val="008F189A"/>
    <w:rsid w:val="008F19B7"/>
    <w:rsid w:val="008F1DA9"/>
    <w:rsid w:val="008F1E0D"/>
    <w:rsid w:val="008F228D"/>
    <w:rsid w:val="008F29DF"/>
    <w:rsid w:val="008F2D54"/>
    <w:rsid w:val="008F47F4"/>
    <w:rsid w:val="008F613E"/>
    <w:rsid w:val="008F6AAD"/>
    <w:rsid w:val="008F6C87"/>
    <w:rsid w:val="008F750C"/>
    <w:rsid w:val="00900FBF"/>
    <w:rsid w:val="00901536"/>
    <w:rsid w:val="00901597"/>
    <w:rsid w:val="00901BA0"/>
    <w:rsid w:val="00901DBF"/>
    <w:rsid w:val="00902487"/>
    <w:rsid w:val="009032A8"/>
    <w:rsid w:val="009035C7"/>
    <w:rsid w:val="00905D79"/>
    <w:rsid w:val="00906275"/>
    <w:rsid w:val="0090683A"/>
    <w:rsid w:val="00906D40"/>
    <w:rsid w:val="00907F1C"/>
    <w:rsid w:val="009112A4"/>
    <w:rsid w:val="009112DC"/>
    <w:rsid w:val="0091403A"/>
    <w:rsid w:val="00914E19"/>
    <w:rsid w:val="00915164"/>
    <w:rsid w:val="00916429"/>
    <w:rsid w:val="00916735"/>
    <w:rsid w:val="00916DE9"/>
    <w:rsid w:val="00916ECE"/>
    <w:rsid w:val="009176D9"/>
    <w:rsid w:val="009208E4"/>
    <w:rsid w:val="00920E39"/>
    <w:rsid w:val="0092153D"/>
    <w:rsid w:val="00921767"/>
    <w:rsid w:val="00921E3A"/>
    <w:rsid w:val="00921EE5"/>
    <w:rsid w:val="009238BC"/>
    <w:rsid w:val="00924EAF"/>
    <w:rsid w:val="00925356"/>
    <w:rsid w:val="00926CE0"/>
    <w:rsid w:val="00926FAA"/>
    <w:rsid w:val="00927678"/>
    <w:rsid w:val="00927931"/>
    <w:rsid w:val="00927EC7"/>
    <w:rsid w:val="00931188"/>
    <w:rsid w:val="009317C9"/>
    <w:rsid w:val="00932B83"/>
    <w:rsid w:val="00933617"/>
    <w:rsid w:val="009338D5"/>
    <w:rsid w:val="00933FE9"/>
    <w:rsid w:val="009353AD"/>
    <w:rsid w:val="009353DE"/>
    <w:rsid w:val="0093587E"/>
    <w:rsid w:val="00935E2F"/>
    <w:rsid w:val="00936091"/>
    <w:rsid w:val="009360CD"/>
    <w:rsid w:val="0093623C"/>
    <w:rsid w:val="009377BF"/>
    <w:rsid w:val="00937954"/>
    <w:rsid w:val="00937D08"/>
    <w:rsid w:val="0094001C"/>
    <w:rsid w:val="009403F1"/>
    <w:rsid w:val="00940FCC"/>
    <w:rsid w:val="00941436"/>
    <w:rsid w:val="00943E70"/>
    <w:rsid w:val="009441D1"/>
    <w:rsid w:val="00944A2D"/>
    <w:rsid w:val="00945ECD"/>
    <w:rsid w:val="009476EC"/>
    <w:rsid w:val="00950B96"/>
    <w:rsid w:val="00951CFB"/>
    <w:rsid w:val="00951DE6"/>
    <w:rsid w:val="00951F90"/>
    <w:rsid w:val="009525D8"/>
    <w:rsid w:val="00952E0B"/>
    <w:rsid w:val="00953F68"/>
    <w:rsid w:val="00954307"/>
    <w:rsid w:val="00954546"/>
    <w:rsid w:val="0095492B"/>
    <w:rsid w:val="00954EAB"/>
    <w:rsid w:val="00955B56"/>
    <w:rsid w:val="00956529"/>
    <w:rsid w:val="009568F5"/>
    <w:rsid w:val="00956DF3"/>
    <w:rsid w:val="009578F1"/>
    <w:rsid w:val="00957DF6"/>
    <w:rsid w:val="009601CB"/>
    <w:rsid w:val="009615CC"/>
    <w:rsid w:val="00961869"/>
    <w:rsid w:val="00961ED7"/>
    <w:rsid w:val="0096241D"/>
    <w:rsid w:val="00962896"/>
    <w:rsid w:val="00963F02"/>
    <w:rsid w:val="0096412C"/>
    <w:rsid w:val="00966B0D"/>
    <w:rsid w:val="00966C8E"/>
    <w:rsid w:val="00967EF0"/>
    <w:rsid w:val="00971038"/>
    <w:rsid w:val="00971DBD"/>
    <w:rsid w:val="00973113"/>
    <w:rsid w:val="009733AE"/>
    <w:rsid w:val="00973F34"/>
    <w:rsid w:val="00974574"/>
    <w:rsid w:val="00974A0D"/>
    <w:rsid w:val="00974C6B"/>
    <w:rsid w:val="00975D33"/>
    <w:rsid w:val="00977666"/>
    <w:rsid w:val="009778CF"/>
    <w:rsid w:val="009779B1"/>
    <w:rsid w:val="009808B0"/>
    <w:rsid w:val="00981032"/>
    <w:rsid w:val="0098217B"/>
    <w:rsid w:val="00982274"/>
    <w:rsid w:val="009824FD"/>
    <w:rsid w:val="00982741"/>
    <w:rsid w:val="00983C6A"/>
    <w:rsid w:val="00983CAD"/>
    <w:rsid w:val="00983D4F"/>
    <w:rsid w:val="009841C9"/>
    <w:rsid w:val="00984C3C"/>
    <w:rsid w:val="00985BC0"/>
    <w:rsid w:val="00985D70"/>
    <w:rsid w:val="00986011"/>
    <w:rsid w:val="009864FF"/>
    <w:rsid w:val="00987924"/>
    <w:rsid w:val="0099016A"/>
    <w:rsid w:val="00991D85"/>
    <w:rsid w:val="009933FF"/>
    <w:rsid w:val="00994EDD"/>
    <w:rsid w:val="00994F38"/>
    <w:rsid w:val="00994F3D"/>
    <w:rsid w:val="00995911"/>
    <w:rsid w:val="00995EB4"/>
    <w:rsid w:val="009A08BA"/>
    <w:rsid w:val="009A0C03"/>
    <w:rsid w:val="009A0E33"/>
    <w:rsid w:val="009A1562"/>
    <w:rsid w:val="009A17AB"/>
    <w:rsid w:val="009A2821"/>
    <w:rsid w:val="009A46D9"/>
    <w:rsid w:val="009A48FA"/>
    <w:rsid w:val="009A541D"/>
    <w:rsid w:val="009A56CD"/>
    <w:rsid w:val="009A5F61"/>
    <w:rsid w:val="009A66D9"/>
    <w:rsid w:val="009B0A3A"/>
    <w:rsid w:val="009B1A0E"/>
    <w:rsid w:val="009B29BD"/>
    <w:rsid w:val="009B3205"/>
    <w:rsid w:val="009B3B07"/>
    <w:rsid w:val="009B42E2"/>
    <w:rsid w:val="009B4590"/>
    <w:rsid w:val="009B5C9F"/>
    <w:rsid w:val="009B5F95"/>
    <w:rsid w:val="009B6635"/>
    <w:rsid w:val="009B77B2"/>
    <w:rsid w:val="009B7D74"/>
    <w:rsid w:val="009C0145"/>
    <w:rsid w:val="009C05FA"/>
    <w:rsid w:val="009C1443"/>
    <w:rsid w:val="009C298B"/>
    <w:rsid w:val="009C3396"/>
    <w:rsid w:val="009C410B"/>
    <w:rsid w:val="009C4A1D"/>
    <w:rsid w:val="009C55E9"/>
    <w:rsid w:val="009C61F6"/>
    <w:rsid w:val="009C64B9"/>
    <w:rsid w:val="009C6BF7"/>
    <w:rsid w:val="009C70DA"/>
    <w:rsid w:val="009C76D2"/>
    <w:rsid w:val="009D2485"/>
    <w:rsid w:val="009D4D84"/>
    <w:rsid w:val="009D53CD"/>
    <w:rsid w:val="009D5621"/>
    <w:rsid w:val="009D67FA"/>
    <w:rsid w:val="009D69F8"/>
    <w:rsid w:val="009E1111"/>
    <w:rsid w:val="009E17ED"/>
    <w:rsid w:val="009E1C30"/>
    <w:rsid w:val="009E1E1F"/>
    <w:rsid w:val="009E1F8E"/>
    <w:rsid w:val="009E25C2"/>
    <w:rsid w:val="009E2893"/>
    <w:rsid w:val="009E293C"/>
    <w:rsid w:val="009E2CE4"/>
    <w:rsid w:val="009E39B0"/>
    <w:rsid w:val="009E4475"/>
    <w:rsid w:val="009E583A"/>
    <w:rsid w:val="009E7487"/>
    <w:rsid w:val="009E7561"/>
    <w:rsid w:val="009E775E"/>
    <w:rsid w:val="009E784A"/>
    <w:rsid w:val="009E7BC8"/>
    <w:rsid w:val="009E7D6F"/>
    <w:rsid w:val="009F0AD9"/>
    <w:rsid w:val="009F26CB"/>
    <w:rsid w:val="009F441B"/>
    <w:rsid w:val="009F4901"/>
    <w:rsid w:val="009F5FDD"/>
    <w:rsid w:val="009F61F7"/>
    <w:rsid w:val="009F65E3"/>
    <w:rsid w:val="009F665C"/>
    <w:rsid w:val="00A0109A"/>
    <w:rsid w:val="00A015E0"/>
    <w:rsid w:val="00A017CF"/>
    <w:rsid w:val="00A01858"/>
    <w:rsid w:val="00A024ED"/>
    <w:rsid w:val="00A03ACA"/>
    <w:rsid w:val="00A05B02"/>
    <w:rsid w:val="00A07893"/>
    <w:rsid w:val="00A07B2D"/>
    <w:rsid w:val="00A108B5"/>
    <w:rsid w:val="00A11D2B"/>
    <w:rsid w:val="00A12393"/>
    <w:rsid w:val="00A12418"/>
    <w:rsid w:val="00A12BB1"/>
    <w:rsid w:val="00A135A0"/>
    <w:rsid w:val="00A13F6D"/>
    <w:rsid w:val="00A13FDF"/>
    <w:rsid w:val="00A14C16"/>
    <w:rsid w:val="00A15A66"/>
    <w:rsid w:val="00A162FD"/>
    <w:rsid w:val="00A16728"/>
    <w:rsid w:val="00A17F82"/>
    <w:rsid w:val="00A21E3B"/>
    <w:rsid w:val="00A22FD0"/>
    <w:rsid w:val="00A2334F"/>
    <w:rsid w:val="00A236CD"/>
    <w:rsid w:val="00A24B2C"/>
    <w:rsid w:val="00A25001"/>
    <w:rsid w:val="00A26BC7"/>
    <w:rsid w:val="00A27B2F"/>
    <w:rsid w:val="00A27F0F"/>
    <w:rsid w:val="00A30DA8"/>
    <w:rsid w:val="00A313FC"/>
    <w:rsid w:val="00A3342B"/>
    <w:rsid w:val="00A33838"/>
    <w:rsid w:val="00A33D86"/>
    <w:rsid w:val="00A34A95"/>
    <w:rsid w:val="00A3574E"/>
    <w:rsid w:val="00A3592D"/>
    <w:rsid w:val="00A35F45"/>
    <w:rsid w:val="00A369A9"/>
    <w:rsid w:val="00A37196"/>
    <w:rsid w:val="00A37B5C"/>
    <w:rsid w:val="00A41106"/>
    <w:rsid w:val="00A41224"/>
    <w:rsid w:val="00A41A57"/>
    <w:rsid w:val="00A41E65"/>
    <w:rsid w:val="00A41F84"/>
    <w:rsid w:val="00A42166"/>
    <w:rsid w:val="00A42CEB"/>
    <w:rsid w:val="00A43792"/>
    <w:rsid w:val="00A43D2A"/>
    <w:rsid w:val="00A4440F"/>
    <w:rsid w:val="00A4489B"/>
    <w:rsid w:val="00A44EAA"/>
    <w:rsid w:val="00A454C0"/>
    <w:rsid w:val="00A46002"/>
    <w:rsid w:val="00A46103"/>
    <w:rsid w:val="00A472DA"/>
    <w:rsid w:val="00A5029E"/>
    <w:rsid w:val="00A51DC2"/>
    <w:rsid w:val="00A51E88"/>
    <w:rsid w:val="00A53BFB"/>
    <w:rsid w:val="00A543C6"/>
    <w:rsid w:val="00A554D8"/>
    <w:rsid w:val="00A55C16"/>
    <w:rsid w:val="00A56BEA"/>
    <w:rsid w:val="00A56FA9"/>
    <w:rsid w:val="00A577BD"/>
    <w:rsid w:val="00A57A67"/>
    <w:rsid w:val="00A57E87"/>
    <w:rsid w:val="00A60EB5"/>
    <w:rsid w:val="00A62CF1"/>
    <w:rsid w:val="00A631C5"/>
    <w:rsid w:val="00A64FC0"/>
    <w:rsid w:val="00A65950"/>
    <w:rsid w:val="00A65F83"/>
    <w:rsid w:val="00A66D4C"/>
    <w:rsid w:val="00A67869"/>
    <w:rsid w:val="00A710E4"/>
    <w:rsid w:val="00A719C9"/>
    <w:rsid w:val="00A71F44"/>
    <w:rsid w:val="00A71F67"/>
    <w:rsid w:val="00A72050"/>
    <w:rsid w:val="00A72553"/>
    <w:rsid w:val="00A72F33"/>
    <w:rsid w:val="00A72F6B"/>
    <w:rsid w:val="00A7360E"/>
    <w:rsid w:val="00A736F5"/>
    <w:rsid w:val="00A73BD8"/>
    <w:rsid w:val="00A7403A"/>
    <w:rsid w:val="00A747BE"/>
    <w:rsid w:val="00A74BD1"/>
    <w:rsid w:val="00A75520"/>
    <w:rsid w:val="00A77450"/>
    <w:rsid w:val="00A804AD"/>
    <w:rsid w:val="00A80F09"/>
    <w:rsid w:val="00A8102E"/>
    <w:rsid w:val="00A8159A"/>
    <w:rsid w:val="00A8256F"/>
    <w:rsid w:val="00A858FA"/>
    <w:rsid w:val="00A86485"/>
    <w:rsid w:val="00A86F43"/>
    <w:rsid w:val="00A87882"/>
    <w:rsid w:val="00A87A74"/>
    <w:rsid w:val="00A90FE2"/>
    <w:rsid w:val="00A91A3D"/>
    <w:rsid w:val="00A924A7"/>
    <w:rsid w:val="00A92651"/>
    <w:rsid w:val="00A927D0"/>
    <w:rsid w:val="00A92AFF"/>
    <w:rsid w:val="00A9373B"/>
    <w:rsid w:val="00A93A31"/>
    <w:rsid w:val="00A95C27"/>
    <w:rsid w:val="00A96685"/>
    <w:rsid w:val="00A96747"/>
    <w:rsid w:val="00A9700F"/>
    <w:rsid w:val="00AA1DD9"/>
    <w:rsid w:val="00AA2008"/>
    <w:rsid w:val="00AA202E"/>
    <w:rsid w:val="00AA2333"/>
    <w:rsid w:val="00AA24AB"/>
    <w:rsid w:val="00AA2703"/>
    <w:rsid w:val="00AA2A33"/>
    <w:rsid w:val="00AA3F13"/>
    <w:rsid w:val="00AA54E2"/>
    <w:rsid w:val="00AA5E98"/>
    <w:rsid w:val="00AA6689"/>
    <w:rsid w:val="00AA6921"/>
    <w:rsid w:val="00AA70EC"/>
    <w:rsid w:val="00AA72DB"/>
    <w:rsid w:val="00AA7D56"/>
    <w:rsid w:val="00AB05E0"/>
    <w:rsid w:val="00AB158F"/>
    <w:rsid w:val="00AB2860"/>
    <w:rsid w:val="00AB2B6D"/>
    <w:rsid w:val="00AB35AC"/>
    <w:rsid w:val="00AB5F57"/>
    <w:rsid w:val="00AB627A"/>
    <w:rsid w:val="00AB6A99"/>
    <w:rsid w:val="00AB6FB9"/>
    <w:rsid w:val="00AB71D4"/>
    <w:rsid w:val="00AB7883"/>
    <w:rsid w:val="00AB7A0B"/>
    <w:rsid w:val="00AB7BC0"/>
    <w:rsid w:val="00AC11B1"/>
    <w:rsid w:val="00AC1521"/>
    <w:rsid w:val="00AC24AA"/>
    <w:rsid w:val="00AC256B"/>
    <w:rsid w:val="00AC2E25"/>
    <w:rsid w:val="00AC3A3A"/>
    <w:rsid w:val="00AC4093"/>
    <w:rsid w:val="00AC4405"/>
    <w:rsid w:val="00AC442B"/>
    <w:rsid w:val="00AC62C7"/>
    <w:rsid w:val="00AC6A7D"/>
    <w:rsid w:val="00AC703B"/>
    <w:rsid w:val="00AD037B"/>
    <w:rsid w:val="00AD143C"/>
    <w:rsid w:val="00AD14D4"/>
    <w:rsid w:val="00AD1C69"/>
    <w:rsid w:val="00AD1EBA"/>
    <w:rsid w:val="00AD2636"/>
    <w:rsid w:val="00AD3AC2"/>
    <w:rsid w:val="00AD4064"/>
    <w:rsid w:val="00AD43A6"/>
    <w:rsid w:val="00AD451D"/>
    <w:rsid w:val="00AD55CB"/>
    <w:rsid w:val="00AD62D6"/>
    <w:rsid w:val="00AD6438"/>
    <w:rsid w:val="00AD6451"/>
    <w:rsid w:val="00AD669A"/>
    <w:rsid w:val="00AD6971"/>
    <w:rsid w:val="00AD7798"/>
    <w:rsid w:val="00AD7E38"/>
    <w:rsid w:val="00AE01D0"/>
    <w:rsid w:val="00AE0525"/>
    <w:rsid w:val="00AE0A26"/>
    <w:rsid w:val="00AE0EEB"/>
    <w:rsid w:val="00AE287C"/>
    <w:rsid w:val="00AE293C"/>
    <w:rsid w:val="00AE3718"/>
    <w:rsid w:val="00AE3A71"/>
    <w:rsid w:val="00AE413C"/>
    <w:rsid w:val="00AE45C5"/>
    <w:rsid w:val="00AE562E"/>
    <w:rsid w:val="00AE5A7E"/>
    <w:rsid w:val="00AE5ABD"/>
    <w:rsid w:val="00AE5CB5"/>
    <w:rsid w:val="00AE6048"/>
    <w:rsid w:val="00AE611A"/>
    <w:rsid w:val="00AE73D4"/>
    <w:rsid w:val="00AE7412"/>
    <w:rsid w:val="00AE7458"/>
    <w:rsid w:val="00AF0156"/>
    <w:rsid w:val="00AF15C2"/>
    <w:rsid w:val="00AF1E7E"/>
    <w:rsid w:val="00AF45C9"/>
    <w:rsid w:val="00AF5E36"/>
    <w:rsid w:val="00B013EB"/>
    <w:rsid w:val="00B016EF"/>
    <w:rsid w:val="00B0265E"/>
    <w:rsid w:val="00B03E83"/>
    <w:rsid w:val="00B051A2"/>
    <w:rsid w:val="00B06459"/>
    <w:rsid w:val="00B06571"/>
    <w:rsid w:val="00B06D66"/>
    <w:rsid w:val="00B077AF"/>
    <w:rsid w:val="00B0794D"/>
    <w:rsid w:val="00B10734"/>
    <w:rsid w:val="00B11A9B"/>
    <w:rsid w:val="00B11FCB"/>
    <w:rsid w:val="00B12F90"/>
    <w:rsid w:val="00B134CC"/>
    <w:rsid w:val="00B135E6"/>
    <w:rsid w:val="00B13CCD"/>
    <w:rsid w:val="00B1513D"/>
    <w:rsid w:val="00B154AD"/>
    <w:rsid w:val="00B161D6"/>
    <w:rsid w:val="00B173A2"/>
    <w:rsid w:val="00B17A4D"/>
    <w:rsid w:val="00B17EE4"/>
    <w:rsid w:val="00B2137D"/>
    <w:rsid w:val="00B215A0"/>
    <w:rsid w:val="00B218A0"/>
    <w:rsid w:val="00B22157"/>
    <w:rsid w:val="00B222BF"/>
    <w:rsid w:val="00B223BA"/>
    <w:rsid w:val="00B22549"/>
    <w:rsid w:val="00B236C4"/>
    <w:rsid w:val="00B23786"/>
    <w:rsid w:val="00B24349"/>
    <w:rsid w:val="00B252B9"/>
    <w:rsid w:val="00B25E7D"/>
    <w:rsid w:val="00B27217"/>
    <w:rsid w:val="00B27296"/>
    <w:rsid w:val="00B2749A"/>
    <w:rsid w:val="00B304C8"/>
    <w:rsid w:val="00B30511"/>
    <w:rsid w:val="00B3062C"/>
    <w:rsid w:val="00B31193"/>
    <w:rsid w:val="00B3193E"/>
    <w:rsid w:val="00B3281C"/>
    <w:rsid w:val="00B34E70"/>
    <w:rsid w:val="00B34F69"/>
    <w:rsid w:val="00B35685"/>
    <w:rsid w:val="00B35CAC"/>
    <w:rsid w:val="00B3767F"/>
    <w:rsid w:val="00B41243"/>
    <w:rsid w:val="00B41B3A"/>
    <w:rsid w:val="00B42865"/>
    <w:rsid w:val="00B43A80"/>
    <w:rsid w:val="00B43B34"/>
    <w:rsid w:val="00B43D25"/>
    <w:rsid w:val="00B440F4"/>
    <w:rsid w:val="00B44BF3"/>
    <w:rsid w:val="00B46FE4"/>
    <w:rsid w:val="00B47856"/>
    <w:rsid w:val="00B51140"/>
    <w:rsid w:val="00B5168D"/>
    <w:rsid w:val="00B51755"/>
    <w:rsid w:val="00B52226"/>
    <w:rsid w:val="00B522CE"/>
    <w:rsid w:val="00B537BA"/>
    <w:rsid w:val="00B54171"/>
    <w:rsid w:val="00B54B31"/>
    <w:rsid w:val="00B56E00"/>
    <w:rsid w:val="00B57970"/>
    <w:rsid w:val="00B61863"/>
    <w:rsid w:val="00B62597"/>
    <w:rsid w:val="00B62ACC"/>
    <w:rsid w:val="00B6374F"/>
    <w:rsid w:val="00B63B5C"/>
    <w:rsid w:val="00B63D4D"/>
    <w:rsid w:val="00B64308"/>
    <w:rsid w:val="00B652AF"/>
    <w:rsid w:val="00B660DF"/>
    <w:rsid w:val="00B665B5"/>
    <w:rsid w:val="00B67D91"/>
    <w:rsid w:val="00B71BA1"/>
    <w:rsid w:val="00B71D08"/>
    <w:rsid w:val="00B71FB3"/>
    <w:rsid w:val="00B72227"/>
    <w:rsid w:val="00B7330C"/>
    <w:rsid w:val="00B73886"/>
    <w:rsid w:val="00B73BA1"/>
    <w:rsid w:val="00B743FE"/>
    <w:rsid w:val="00B7559B"/>
    <w:rsid w:val="00B75A41"/>
    <w:rsid w:val="00B8006C"/>
    <w:rsid w:val="00B84DC9"/>
    <w:rsid w:val="00B85705"/>
    <w:rsid w:val="00B86F5F"/>
    <w:rsid w:val="00B87DBE"/>
    <w:rsid w:val="00B90AF9"/>
    <w:rsid w:val="00B918B5"/>
    <w:rsid w:val="00B92FEE"/>
    <w:rsid w:val="00B94353"/>
    <w:rsid w:val="00B943FD"/>
    <w:rsid w:val="00B95214"/>
    <w:rsid w:val="00B9566A"/>
    <w:rsid w:val="00B95CFA"/>
    <w:rsid w:val="00B96021"/>
    <w:rsid w:val="00B979DB"/>
    <w:rsid w:val="00BA0FBB"/>
    <w:rsid w:val="00BA1386"/>
    <w:rsid w:val="00BA1500"/>
    <w:rsid w:val="00BA2448"/>
    <w:rsid w:val="00BA4499"/>
    <w:rsid w:val="00BA504C"/>
    <w:rsid w:val="00BA52CA"/>
    <w:rsid w:val="00BA5484"/>
    <w:rsid w:val="00BA5581"/>
    <w:rsid w:val="00BA7E5C"/>
    <w:rsid w:val="00BA7FC1"/>
    <w:rsid w:val="00BB1A30"/>
    <w:rsid w:val="00BB1F71"/>
    <w:rsid w:val="00BB23E7"/>
    <w:rsid w:val="00BB24EC"/>
    <w:rsid w:val="00BB3EDA"/>
    <w:rsid w:val="00BB3FE7"/>
    <w:rsid w:val="00BB455A"/>
    <w:rsid w:val="00BB4A39"/>
    <w:rsid w:val="00BB5421"/>
    <w:rsid w:val="00BB694F"/>
    <w:rsid w:val="00BB6960"/>
    <w:rsid w:val="00BB7FBC"/>
    <w:rsid w:val="00BC01AA"/>
    <w:rsid w:val="00BC1345"/>
    <w:rsid w:val="00BC2AB0"/>
    <w:rsid w:val="00BC2D06"/>
    <w:rsid w:val="00BC3279"/>
    <w:rsid w:val="00BC36CD"/>
    <w:rsid w:val="00BC42E9"/>
    <w:rsid w:val="00BC4867"/>
    <w:rsid w:val="00BC5461"/>
    <w:rsid w:val="00BC6835"/>
    <w:rsid w:val="00BC786D"/>
    <w:rsid w:val="00BC7A4F"/>
    <w:rsid w:val="00BC7AE6"/>
    <w:rsid w:val="00BD0E30"/>
    <w:rsid w:val="00BD172A"/>
    <w:rsid w:val="00BD1EAB"/>
    <w:rsid w:val="00BD22EC"/>
    <w:rsid w:val="00BD442C"/>
    <w:rsid w:val="00BD5AB2"/>
    <w:rsid w:val="00BD5EB7"/>
    <w:rsid w:val="00BD646B"/>
    <w:rsid w:val="00BD6A41"/>
    <w:rsid w:val="00BD6EDD"/>
    <w:rsid w:val="00BD777C"/>
    <w:rsid w:val="00BD784A"/>
    <w:rsid w:val="00BE01E3"/>
    <w:rsid w:val="00BE0B79"/>
    <w:rsid w:val="00BE130C"/>
    <w:rsid w:val="00BE2147"/>
    <w:rsid w:val="00BE26B4"/>
    <w:rsid w:val="00BE28A6"/>
    <w:rsid w:val="00BE35D0"/>
    <w:rsid w:val="00BE38BC"/>
    <w:rsid w:val="00BE3EB2"/>
    <w:rsid w:val="00BE52C1"/>
    <w:rsid w:val="00BE62E1"/>
    <w:rsid w:val="00BF114F"/>
    <w:rsid w:val="00BF13A4"/>
    <w:rsid w:val="00BF18D4"/>
    <w:rsid w:val="00BF28F0"/>
    <w:rsid w:val="00BF3004"/>
    <w:rsid w:val="00BF3F0F"/>
    <w:rsid w:val="00BF5AC0"/>
    <w:rsid w:val="00BF6B17"/>
    <w:rsid w:val="00BF6E0A"/>
    <w:rsid w:val="00BF7E48"/>
    <w:rsid w:val="00C001F9"/>
    <w:rsid w:val="00C012CC"/>
    <w:rsid w:val="00C015D8"/>
    <w:rsid w:val="00C01E9D"/>
    <w:rsid w:val="00C0245D"/>
    <w:rsid w:val="00C034C5"/>
    <w:rsid w:val="00C03516"/>
    <w:rsid w:val="00C0361E"/>
    <w:rsid w:val="00C05C8F"/>
    <w:rsid w:val="00C06107"/>
    <w:rsid w:val="00C06846"/>
    <w:rsid w:val="00C06907"/>
    <w:rsid w:val="00C076D6"/>
    <w:rsid w:val="00C07BA4"/>
    <w:rsid w:val="00C10134"/>
    <w:rsid w:val="00C103F4"/>
    <w:rsid w:val="00C106B4"/>
    <w:rsid w:val="00C109D4"/>
    <w:rsid w:val="00C10E23"/>
    <w:rsid w:val="00C11331"/>
    <w:rsid w:val="00C1187A"/>
    <w:rsid w:val="00C11C6F"/>
    <w:rsid w:val="00C12F2B"/>
    <w:rsid w:val="00C1371A"/>
    <w:rsid w:val="00C1416E"/>
    <w:rsid w:val="00C1491B"/>
    <w:rsid w:val="00C14958"/>
    <w:rsid w:val="00C1640E"/>
    <w:rsid w:val="00C16F7C"/>
    <w:rsid w:val="00C17CEC"/>
    <w:rsid w:val="00C216D9"/>
    <w:rsid w:val="00C218F7"/>
    <w:rsid w:val="00C22A22"/>
    <w:rsid w:val="00C24AD5"/>
    <w:rsid w:val="00C25346"/>
    <w:rsid w:val="00C26257"/>
    <w:rsid w:val="00C26367"/>
    <w:rsid w:val="00C3020B"/>
    <w:rsid w:val="00C3268B"/>
    <w:rsid w:val="00C32955"/>
    <w:rsid w:val="00C32B7B"/>
    <w:rsid w:val="00C3671A"/>
    <w:rsid w:val="00C37D1A"/>
    <w:rsid w:val="00C432CE"/>
    <w:rsid w:val="00C435D8"/>
    <w:rsid w:val="00C43844"/>
    <w:rsid w:val="00C43B07"/>
    <w:rsid w:val="00C44466"/>
    <w:rsid w:val="00C44517"/>
    <w:rsid w:val="00C45448"/>
    <w:rsid w:val="00C45B68"/>
    <w:rsid w:val="00C464E0"/>
    <w:rsid w:val="00C46B06"/>
    <w:rsid w:val="00C46CAB"/>
    <w:rsid w:val="00C46EEF"/>
    <w:rsid w:val="00C47A3D"/>
    <w:rsid w:val="00C47AFB"/>
    <w:rsid w:val="00C47B00"/>
    <w:rsid w:val="00C536CC"/>
    <w:rsid w:val="00C5416A"/>
    <w:rsid w:val="00C54BD0"/>
    <w:rsid w:val="00C54DAE"/>
    <w:rsid w:val="00C54E6E"/>
    <w:rsid w:val="00C55931"/>
    <w:rsid w:val="00C564CC"/>
    <w:rsid w:val="00C56FAD"/>
    <w:rsid w:val="00C57815"/>
    <w:rsid w:val="00C607FA"/>
    <w:rsid w:val="00C610BA"/>
    <w:rsid w:val="00C61987"/>
    <w:rsid w:val="00C61B7F"/>
    <w:rsid w:val="00C62591"/>
    <w:rsid w:val="00C62C13"/>
    <w:rsid w:val="00C63763"/>
    <w:rsid w:val="00C654B1"/>
    <w:rsid w:val="00C67693"/>
    <w:rsid w:val="00C679C8"/>
    <w:rsid w:val="00C70C77"/>
    <w:rsid w:val="00C71CD1"/>
    <w:rsid w:val="00C7219F"/>
    <w:rsid w:val="00C7389E"/>
    <w:rsid w:val="00C7419A"/>
    <w:rsid w:val="00C74806"/>
    <w:rsid w:val="00C74CF7"/>
    <w:rsid w:val="00C76774"/>
    <w:rsid w:val="00C76E5F"/>
    <w:rsid w:val="00C80002"/>
    <w:rsid w:val="00C818EB"/>
    <w:rsid w:val="00C81D47"/>
    <w:rsid w:val="00C82260"/>
    <w:rsid w:val="00C831BB"/>
    <w:rsid w:val="00C848FE"/>
    <w:rsid w:val="00C84E2A"/>
    <w:rsid w:val="00C85652"/>
    <w:rsid w:val="00C856E8"/>
    <w:rsid w:val="00C85C27"/>
    <w:rsid w:val="00C863D9"/>
    <w:rsid w:val="00C867C4"/>
    <w:rsid w:val="00C90311"/>
    <w:rsid w:val="00C90600"/>
    <w:rsid w:val="00C90B68"/>
    <w:rsid w:val="00C9124A"/>
    <w:rsid w:val="00C917F7"/>
    <w:rsid w:val="00C91AAA"/>
    <w:rsid w:val="00C91C50"/>
    <w:rsid w:val="00C92BDA"/>
    <w:rsid w:val="00C92C40"/>
    <w:rsid w:val="00C935A1"/>
    <w:rsid w:val="00C9385E"/>
    <w:rsid w:val="00C93F6B"/>
    <w:rsid w:val="00C942B6"/>
    <w:rsid w:val="00C94A5D"/>
    <w:rsid w:val="00C94BD5"/>
    <w:rsid w:val="00C950D9"/>
    <w:rsid w:val="00C956EA"/>
    <w:rsid w:val="00C95886"/>
    <w:rsid w:val="00C96468"/>
    <w:rsid w:val="00C9659F"/>
    <w:rsid w:val="00C9703F"/>
    <w:rsid w:val="00C97374"/>
    <w:rsid w:val="00C97B5E"/>
    <w:rsid w:val="00CA048B"/>
    <w:rsid w:val="00CA0579"/>
    <w:rsid w:val="00CA09D3"/>
    <w:rsid w:val="00CA0A98"/>
    <w:rsid w:val="00CA0CD6"/>
    <w:rsid w:val="00CA2CA8"/>
    <w:rsid w:val="00CA3528"/>
    <w:rsid w:val="00CA36ED"/>
    <w:rsid w:val="00CA41B6"/>
    <w:rsid w:val="00CA5B6C"/>
    <w:rsid w:val="00CA5BCE"/>
    <w:rsid w:val="00CA67CD"/>
    <w:rsid w:val="00CA745A"/>
    <w:rsid w:val="00CB028A"/>
    <w:rsid w:val="00CB128D"/>
    <w:rsid w:val="00CB135B"/>
    <w:rsid w:val="00CB145A"/>
    <w:rsid w:val="00CB176F"/>
    <w:rsid w:val="00CB2856"/>
    <w:rsid w:val="00CB37A5"/>
    <w:rsid w:val="00CB4145"/>
    <w:rsid w:val="00CB4546"/>
    <w:rsid w:val="00CB459E"/>
    <w:rsid w:val="00CB59F1"/>
    <w:rsid w:val="00CB5E4F"/>
    <w:rsid w:val="00CB64A8"/>
    <w:rsid w:val="00CB6DAC"/>
    <w:rsid w:val="00CB7511"/>
    <w:rsid w:val="00CB78BE"/>
    <w:rsid w:val="00CB7CCC"/>
    <w:rsid w:val="00CB7CD6"/>
    <w:rsid w:val="00CB7E10"/>
    <w:rsid w:val="00CC08E7"/>
    <w:rsid w:val="00CC14E5"/>
    <w:rsid w:val="00CC1869"/>
    <w:rsid w:val="00CC18E1"/>
    <w:rsid w:val="00CC1908"/>
    <w:rsid w:val="00CC2BAA"/>
    <w:rsid w:val="00CC3976"/>
    <w:rsid w:val="00CC3A94"/>
    <w:rsid w:val="00CC3C5D"/>
    <w:rsid w:val="00CC3D3E"/>
    <w:rsid w:val="00CC442C"/>
    <w:rsid w:val="00CC4D3C"/>
    <w:rsid w:val="00CC5AC1"/>
    <w:rsid w:val="00CC61E2"/>
    <w:rsid w:val="00CC6397"/>
    <w:rsid w:val="00CC6E48"/>
    <w:rsid w:val="00CC7676"/>
    <w:rsid w:val="00CD0C9A"/>
    <w:rsid w:val="00CD1075"/>
    <w:rsid w:val="00CD10A1"/>
    <w:rsid w:val="00CD2E38"/>
    <w:rsid w:val="00CD3030"/>
    <w:rsid w:val="00CD3A2D"/>
    <w:rsid w:val="00CD4126"/>
    <w:rsid w:val="00CD4C8D"/>
    <w:rsid w:val="00CD520D"/>
    <w:rsid w:val="00CD568D"/>
    <w:rsid w:val="00CD6CBD"/>
    <w:rsid w:val="00CD779B"/>
    <w:rsid w:val="00CD7DBC"/>
    <w:rsid w:val="00CE0DB6"/>
    <w:rsid w:val="00CE1A3D"/>
    <w:rsid w:val="00CE1B8E"/>
    <w:rsid w:val="00CE246E"/>
    <w:rsid w:val="00CE2FF0"/>
    <w:rsid w:val="00CE3A7F"/>
    <w:rsid w:val="00CE6A1D"/>
    <w:rsid w:val="00CE6DC6"/>
    <w:rsid w:val="00CE7237"/>
    <w:rsid w:val="00CF0828"/>
    <w:rsid w:val="00CF0CCC"/>
    <w:rsid w:val="00CF156A"/>
    <w:rsid w:val="00CF174F"/>
    <w:rsid w:val="00CF263F"/>
    <w:rsid w:val="00CF3077"/>
    <w:rsid w:val="00CF4436"/>
    <w:rsid w:val="00CF4CE6"/>
    <w:rsid w:val="00CF61E8"/>
    <w:rsid w:val="00CF6D2E"/>
    <w:rsid w:val="00CF712C"/>
    <w:rsid w:val="00D00C2A"/>
    <w:rsid w:val="00D02311"/>
    <w:rsid w:val="00D024F6"/>
    <w:rsid w:val="00D026F6"/>
    <w:rsid w:val="00D032B4"/>
    <w:rsid w:val="00D032B9"/>
    <w:rsid w:val="00D058F7"/>
    <w:rsid w:val="00D06A10"/>
    <w:rsid w:val="00D06B2C"/>
    <w:rsid w:val="00D077B9"/>
    <w:rsid w:val="00D07D57"/>
    <w:rsid w:val="00D108D8"/>
    <w:rsid w:val="00D11129"/>
    <w:rsid w:val="00D111C9"/>
    <w:rsid w:val="00D118AC"/>
    <w:rsid w:val="00D118D8"/>
    <w:rsid w:val="00D120A5"/>
    <w:rsid w:val="00D128DF"/>
    <w:rsid w:val="00D13422"/>
    <w:rsid w:val="00D13CF5"/>
    <w:rsid w:val="00D14E8A"/>
    <w:rsid w:val="00D1540A"/>
    <w:rsid w:val="00D160AC"/>
    <w:rsid w:val="00D16C1C"/>
    <w:rsid w:val="00D17D79"/>
    <w:rsid w:val="00D21D9D"/>
    <w:rsid w:val="00D2219D"/>
    <w:rsid w:val="00D226BF"/>
    <w:rsid w:val="00D22BAB"/>
    <w:rsid w:val="00D23AAC"/>
    <w:rsid w:val="00D24DAC"/>
    <w:rsid w:val="00D25318"/>
    <w:rsid w:val="00D25A82"/>
    <w:rsid w:val="00D31CBB"/>
    <w:rsid w:val="00D32411"/>
    <w:rsid w:val="00D32750"/>
    <w:rsid w:val="00D3410B"/>
    <w:rsid w:val="00D34F6E"/>
    <w:rsid w:val="00D35AAA"/>
    <w:rsid w:val="00D3706E"/>
    <w:rsid w:val="00D372F0"/>
    <w:rsid w:val="00D37EFD"/>
    <w:rsid w:val="00D41733"/>
    <w:rsid w:val="00D4195D"/>
    <w:rsid w:val="00D42409"/>
    <w:rsid w:val="00D438B7"/>
    <w:rsid w:val="00D4526B"/>
    <w:rsid w:val="00D45B31"/>
    <w:rsid w:val="00D45C62"/>
    <w:rsid w:val="00D46134"/>
    <w:rsid w:val="00D46CD3"/>
    <w:rsid w:val="00D51AEC"/>
    <w:rsid w:val="00D51EA2"/>
    <w:rsid w:val="00D52080"/>
    <w:rsid w:val="00D53796"/>
    <w:rsid w:val="00D53D80"/>
    <w:rsid w:val="00D53FDA"/>
    <w:rsid w:val="00D546FC"/>
    <w:rsid w:val="00D54C52"/>
    <w:rsid w:val="00D54DB9"/>
    <w:rsid w:val="00D553A5"/>
    <w:rsid w:val="00D55D85"/>
    <w:rsid w:val="00D56434"/>
    <w:rsid w:val="00D57160"/>
    <w:rsid w:val="00D572BD"/>
    <w:rsid w:val="00D57A2E"/>
    <w:rsid w:val="00D60375"/>
    <w:rsid w:val="00D60388"/>
    <w:rsid w:val="00D607F8"/>
    <w:rsid w:val="00D60ADA"/>
    <w:rsid w:val="00D614F3"/>
    <w:rsid w:val="00D63AA8"/>
    <w:rsid w:val="00D63F6F"/>
    <w:rsid w:val="00D6469B"/>
    <w:rsid w:val="00D64A1A"/>
    <w:rsid w:val="00D654AF"/>
    <w:rsid w:val="00D66999"/>
    <w:rsid w:val="00D678FF"/>
    <w:rsid w:val="00D708D8"/>
    <w:rsid w:val="00D7097A"/>
    <w:rsid w:val="00D719C0"/>
    <w:rsid w:val="00D738B7"/>
    <w:rsid w:val="00D758B4"/>
    <w:rsid w:val="00D75A84"/>
    <w:rsid w:val="00D76033"/>
    <w:rsid w:val="00D766B0"/>
    <w:rsid w:val="00D766B7"/>
    <w:rsid w:val="00D770BB"/>
    <w:rsid w:val="00D770F1"/>
    <w:rsid w:val="00D80673"/>
    <w:rsid w:val="00D81713"/>
    <w:rsid w:val="00D82589"/>
    <w:rsid w:val="00D825DF"/>
    <w:rsid w:val="00D83118"/>
    <w:rsid w:val="00D842A4"/>
    <w:rsid w:val="00D844A1"/>
    <w:rsid w:val="00D845BD"/>
    <w:rsid w:val="00D85456"/>
    <w:rsid w:val="00D868E9"/>
    <w:rsid w:val="00D86C4A"/>
    <w:rsid w:val="00D86EC0"/>
    <w:rsid w:val="00D87D07"/>
    <w:rsid w:val="00D90C2D"/>
    <w:rsid w:val="00D911FA"/>
    <w:rsid w:val="00D91B9E"/>
    <w:rsid w:val="00D91E5A"/>
    <w:rsid w:val="00D91F62"/>
    <w:rsid w:val="00D9284F"/>
    <w:rsid w:val="00D92A90"/>
    <w:rsid w:val="00D92D96"/>
    <w:rsid w:val="00D93376"/>
    <w:rsid w:val="00D93A03"/>
    <w:rsid w:val="00D93AF2"/>
    <w:rsid w:val="00D93E28"/>
    <w:rsid w:val="00D95076"/>
    <w:rsid w:val="00D9582F"/>
    <w:rsid w:val="00D968A4"/>
    <w:rsid w:val="00D96B78"/>
    <w:rsid w:val="00D97126"/>
    <w:rsid w:val="00D97873"/>
    <w:rsid w:val="00D979C1"/>
    <w:rsid w:val="00DA014C"/>
    <w:rsid w:val="00DA19E0"/>
    <w:rsid w:val="00DA21C9"/>
    <w:rsid w:val="00DA2890"/>
    <w:rsid w:val="00DA3934"/>
    <w:rsid w:val="00DA3A24"/>
    <w:rsid w:val="00DA42E1"/>
    <w:rsid w:val="00DA48CB"/>
    <w:rsid w:val="00DA5200"/>
    <w:rsid w:val="00DA5DC2"/>
    <w:rsid w:val="00DA5E27"/>
    <w:rsid w:val="00DA70CB"/>
    <w:rsid w:val="00DA7CFB"/>
    <w:rsid w:val="00DB1689"/>
    <w:rsid w:val="00DB1F21"/>
    <w:rsid w:val="00DB207E"/>
    <w:rsid w:val="00DB238E"/>
    <w:rsid w:val="00DB28D1"/>
    <w:rsid w:val="00DB2C1C"/>
    <w:rsid w:val="00DB2C30"/>
    <w:rsid w:val="00DB3796"/>
    <w:rsid w:val="00DB3C69"/>
    <w:rsid w:val="00DB45C5"/>
    <w:rsid w:val="00DB570D"/>
    <w:rsid w:val="00DB6BA2"/>
    <w:rsid w:val="00DB6C32"/>
    <w:rsid w:val="00DB7138"/>
    <w:rsid w:val="00DB7B42"/>
    <w:rsid w:val="00DC06A5"/>
    <w:rsid w:val="00DC0E51"/>
    <w:rsid w:val="00DC1D66"/>
    <w:rsid w:val="00DC2196"/>
    <w:rsid w:val="00DC2E81"/>
    <w:rsid w:val="00DC30BD"/>
    <w:rsid w:val="00DC397B"/>
    <w:rsid w:val="00DC40D7"/>
    <w:rsid w:val="00DC424E"/>
    <w:rsid w:val="00DC6D26"/>
    <w:rsid w:val="00DC7B19"/>
    <w:rsid w:val="00DD1655"/>
    <w:rsid w:val="00DD1C77"/>
    <w:rsid w:val="00DD1CF0"/>
    <w:rsid w:val="00DD3A3F"/>
    <w:rsid w:val="00DD3BAF"/>
    <w:rsid w:val="00DD4637"/>
    <w:rsid w:val="00DD4C50"/>
    <w:rsid w:val="00DD506D"/>
    <w:rsid w:val="00DD530D"/>
    <w:rsid w:val="00DD55FF"/>
    <w:rsid w:val="00DD5894"/>
    <w:rsid w:val="00DD651F"/>
    <w:rsid w:val="00DD6795"/>
    <w:rsid w:val="00DD6AB7"/>
    <w:rsid w:val="00DD787A"/>
    <w:rsid w:val="00DE0959"/>
    <w:rsid w:val="00DE1AFC"/>
    <w:rsid w:val="00DE1FF1"/>
    <w:rsid w:val="00DE215E"/>
    <w:rsid w:val="00DE4D17"/>
    <w:rsid w:val="00DE5062"/>
    <w:rsid w:val="00DE6726"/>
    <w:rsid w:val="00DE7DA8"/>
    <w:rsid w:val="00DF0E90"/>
    <w:rsid w:val="00DF1845"/>
    <w:rsid w:val="00DF1CC8"/>
    <w:rsid w:val="00DF31C9"/>
    <w:rsid w:val="00DF5282"/>
    <w:rsid w:val="00DF5A14"/>
    <w:rsid w:val="00DF5E1C"/>
    <w:rsid w:val="00DF5ECD"/>
    <w:rsid w:val="00DF70C9"/>
    <w:rsid w:val="00E007EA"/>
    <w:rsid w:val="00E0173E"/>
    <w:rsid w:val="00E01B99"/>
    <w:rsid w:val="00E0258A"/>
    <w:rsid w:val="00E03A78"/>
    <w:rsid w:val="00E043CF"/>
    <w:rsid w:val="00E04615"/>
    <w:rsid w:val="00E04721"/>
    <w:rsid w:val="00E05000"/>
    <w:rsid w:val="00E0527B"/>
    <w:rsid w:val="00E05D6E"/>
    <w:rsid w:val="00E06E51"/>
    <w:rsid w:val="00E06F13"/>
    <w:rsid w:val="00E06FB2"/>
    <w:rsid w:val="00E0702A"/>
    <w:rsid w:val="00E070D2"/>
    <w:rsid w:val="00E1253E"/>
    <w:rsid w:val="00E12CDC"/>
    <w:rsid w:val="00E141AF"/>
    <w:rsid w:val="00E15BB4"/>
    <w:rsid w:val="00E177BA"/>
    <w:rsid w:val="00E17E97"/>
    <w:rsid w:val="00E2045D"/>
    <w:rsid w:val="00E21882"/>
    <w:rsid w:val="00E2208F"/>
    <w:rsid w:val="00E22887"/>
    <w:rsid w:val="00E22A14"/>
    <w:rsid w:val="00E22BA8"/>
    <w:rsid w:val="00E2324E"/>
    <w:rsid w:val="00E233A2"/>
    <w:rsid w:val="00E2356E"/>
    <w:rsid w:val="00E23C9A"/>
    <w:rsid w:val="00E23ECF"/>
    <w:rsid w:val="00E245CA"/>
    <w:rsid w:val="00E24CAA"/>
    <w:rsid w:val="00E24EAD"/>
    <w:rsid w:val="00E26C28"/>
    <w:rsid w:val="00E2719B"/>
    <w:rsid w:val="00E27B9A"/>
    <w:rsid w:val="00E27EAA"/>
    <w:rsid w:val="00E305CB"/>
    <w:rsid w:val="00E315D9"/>
    <w:rsid w:val="00E327D1"/>
    <w:rsid w:val="00E33057"/>
    <w:rsid w:val="00E33664"/>
    <w:rsid w:val="00E33F35"/>
    <w:rsid w:val="00E34341"/>
    <w:rsid w:val="00E34A13"/>
    <w:rsid w:val="00E34AFD"/>
    <w:rsid w:val="00E35E8E"/>
    <w:rsid w:val="00E361FC"/>
    <w:rsid w:val="00E36336"/>
    <w:rsid w:val="00E3670B"/>
    <w:rsid w:val="00E36A77"/>
    <w:rsid w:val="00E36EFE"/>
    <w:rsid w:val="00E3738A"/>
    <w:rsid w:val="00E37A28"/>
    <w:rsid w:val="00E37C00"/>
    <w:rsid w:val="00E37C84"/>
    <w:rsid w:val="00E419CA"/>
    <w:rsid w:val="00E41BE6"/>
    <w:rsid w:val="00E42485"/>
    <w:rsid w:val="00E43D55"/>
    <w:rsid w:val="00E444F9"/>
    <w:rsid w:val="00E4485B"/>
    <w:rsid w:val="00E44E4E"/>
    <w:rsid w:val="00E44E7C"/>
    <w:rsid w:val="00E450F6"/>
    <w:rsid w:val="00E473E1"/>
    <w:rsid w:val="00E4775C"/>
    <w:rsid w:val="00E47DBB"/>
    <w:rsid w:val="00E5019D"/>
    <w:rsid w:val="00E503E0"/>
    <w:rsid w:val="00E50EF8"/>
    <w:rsid w:val="00E5150C"/>
    <w:rsid w:val="00E52B03"/>
    <w:rsid w:val="00E550C0"/>
    <w:rsid w:val="00E55F81"/>
    <w:rsid w:val="00E56445"/>
    <w:rsid w:val="00E5654D"/>
    <w:rsid w:val="00E56B95"/>
    <w:rsid w:val="00E56E1B"/>
    <w:rsid w:val="00E614A2"/>
    <w:rsid w:val="00E621AF"/>
    <w:rsid w:val="00E62A16"/>
    <w:rsid w:val="00E637E8"/>
    <w:rsid w:val="00E63A89"/>
    <w:rsid w:val="00E63ECC"/>
    <w:rsid w:val="00E64BAA"/>
    <w:rsid w:val="00E64E24"/>
    <w:rsid w:val="00E65ACB"/>
    <w:rsid w:val="00E70AD3"/>
    <w:rsid w:val="00E738A4"/>
    <w:rsid w:val="00E73D3D"/>
    <w:rsid w:val="00E741F0"/>
    <w:rsid w:val="00E75860"/>
    <w:rsid w:val="00E75B00"/>
    <w:rsid w:val="00E76222"/>
    <w:rsid w:val="00E7645C"/>
    <w:rsid w:val="00E809A8"/>
    <w:rsid w:val="00E81845"/>
    <w:rsid w:val="00E82352"/>
    <w:rsid w:val="00E82891"/>
    <w:rsid w:val="00E83240"/>
    <w:rsid w:val="00E836C4"/>
    <w:rsid w:val="00E83BAF"/>
    <w:rsid w:val="00E84478"/>
    <w:rsid w:val="00E84B78"/>
    <w:rsid w:val="00E8652B"/>
    <w:rsid w:val="00E87290"/>
    <w:rsid w:val="00E8757B"/>
    <w:rsid w:val="00E90177"/>
    <w:rsid w:val="00E902E8"/>
    <w:rsid w:val="00E915B1"/>
    <w:rsid w:val="00E9161D"/>
    <w:rsid w:val="00E91755"/>
    <w:rsid w:val="00E92463"/>
    <w:rsid w:val="00E93227"/>
    <w:rsid w:val="00E933DB"/>
    <w:rsid w:val="00E93A5E"/>
    <w:rsid w:val="00E95FB1"/>
    <w:rsid w:val="00E960C1"/>
    <w:rsid w:val="00E96612"/>
    <w:rsid w:val="00E96E5A"/>
    <w:rsid w:val="00E97151"/>
    <w:rsid w:val="00E979BA"/>
    <w:rsid w:val="00E97C16"/>
    <w:rsid w:val="00EA007F"/>
    <w:rsid w:val="00EA1AB6"/>
    <w:rsid w:val="00EA1B40"/>
    <w:rsid w:val="00EA1B7E"/>
    <w:rsid w:val="00EA2853"/>
    <w:rsid w:val="00EA3BB7"/>
    <w:rsid w:val="00EA4467"/>
    <w:rsid w:val="00EA5035"/>
    <w:rsid w:val="00EA630C"/>
    <w:rsid w:val="00EA64FB"/>
    <w:rsid w:val="00EB0342"/>
    <w:rsid w:val="00EB079C"/>
    <w:rsid w:val="00EB09F3"/>
    <w:rsid w:val="00EB3DD3"/>
    <w:rsid w:val="00EB3DE1"/>
    <w:rsid w:val="00EB41FC"/>
    <w:rsid w:val="00EB4245"/>
    <w:rsid w:val="00EB4274"/>
    <w:rsid w:val="00EB45B3"/>
    <w:rsid w:val="00EB48B8"/>
    <w:rsid w:val="00EB4DEF"/>
    <w:rsid w:val="00EB568F"/>
    <w:rsid w:val="00EC09F9"/>
    <w:rsid w:val="00EC1DD6"/>
    <w:rsid w:val="00EC21EA"/>
    <w:rsid w:val="00EC3A8E"/>
    <w:rsid w:val="00EC3EC0"/>
    <w:rsid w:val="00EC4756"/>
    <w:rsid w:val="00EC596C"/>
    <w:rsid w:val="00EC5B07"/>
    <w:rsid w:val="00ED00A3"/>
    <w:rsid w:val="00ED01A1"/>
    <w:rsid w:val="00ED04FD"/>
    <w:rsid w:val="00ED05B3"/>
    <w:rsid w:val="00ED0AF4"/>
    <w:rsid w:val="00ED18EA"/>
    <w:rsid w:val="00ED19F7"/>
    <w:rsid w:val="00ED1A73"/>
    <w:rsid w:val="00ED2494"/>
    <w:rsid w:val="00ED24FD"/>
    <w:rsid w:val="00ED4425"/>
    <w:rsid w:val="00ED45E6"/>
    <w:rsid w:val="00ED4D2E"/>
    <w:rsid w:val="00ED4FE2"/>
    <w:rsid w:val="00ED557C"/>
    <w:rsid w:val="00ED5CAE"/>
    <w:rsid w:val="00ED707D"/>
    <w:rsid w:val="00ED7291"/>
    <w:rsid w:val="00ED78C5"/>
    <w:rsid w:val="00EE0445"/>
    <w:rsid w:val="00EE14A8"/>
    <w:rsid w:val="00EE1A34"/>
    <w:rsid w:val="00EE214D"/>
    <w:rsid w:val="00EE2660"/>
    <w:rsid w:val="00EE2799"/>
    <w:rsid w:val="00EE307B"/>
    <w:rsid w:val="00EE377A"/>
    <w:rsid w:val="00EE4336"/>
    <w:rsid w:val="00EE515A"/>
    <w:rsid w:val="00EE5E9B"/>
    <w:rsid w:val="00EE6805"/>
    <w:rsid w:val="00EE6F88"/>
    <w:rsid w:val="00EE7845"/>
    <w:rsid w:val="00EF06B3"/>
    <w:rsid w:val="00EF3802"/>
    <w:rsid w:val="00EF3FB6"/>
    <w:rsid w:val="00EF4B2B"/>
    <w:rsid w:val="00EF4E2B"/>
    <w:rsid w:val="00EF6C38"/>
    <w:rsid w:val="00EF78D3"/>
    <w:rsid w:val="00EF7EAC"/>
    <w:rsid w:val="00F00120"/>
    <w:rsid w:val="00F01297"/>
    <w:rsid w:val="00F030DF"/>
    <w:rsid w:val="00F03E88"/>
    <w:rsid w:val="00F04C80"/>
    <w:rsid w:val="00F050EE"/>
    <w:rsid w:val="00F05141"/>
    <w:rsid w:val="00F05198"/>
    <w:rsid w:val="00F05374"/>
    <w:rsid w:val="00F05481"/>
    <w:rsid w:val="00F0646A"/>
    <w:rsid w:val="00F07496"/>
    <w:rsid w:val="00F07C49"/>
    <w:rsid w:val="00F07E9E"/>
    <w:rsid w:val="00F10B44"/>
    <w:rsid w:val="00F10B88"/>
    <w:rsid w:val="00F10DD9"/>
    <w:rsid w:val="00F11F45"/>
    <w:rsid w:val="00F12A0C"/>
    <w:rsid w:val="00F13059"/>
    <w:rsid w:val="00F13069"/>
    <w:rsid w:val="00F13CA8"/>
    <w:rsid w:val="00F13E6B"/>
    <w:rsid w:val="00F15E20"/>
    <w:rsid w:val="00F16182"/>
    <w:rsid w:val="00F17930"/>
    <w:rsid w:val="00F17B68"/>
    <w:rsid w:val="00F17FF3"/>
    <w:rsid w:val="00F20125"/>
    <w:rsid w:val="00F23583"/>
    <w:rsid w:val="00F23AED"/>
    <w:rsid w:val="00F24E0B"/>
    <w:rsid w:val="00F2528B"/>
    <w:rsid w:val="00F256A7"/>
    <w:rsid w:val="00F26BC2"/>
    <w:rsid w:val="00F272E6"/>
    <w:rsid w:val="00F27512"/>
    <w:rsid w:val="00F27967"/>
    <w:rsid w:val="00F27AA7"/>
    <w:rsid w:val="00F3045B"/>
    <w:rsid w:val="00F30669"/>
    <w:rsid w:val="00F30F28"/>
    <w:rsid w:val="00F31DBE"/>
    <w:rsid w:val="00F3288C"/>
    <w:rsid w:val="00F33135"/>
    <w:rsid w:val="00F3335B"/>
    <w:rsid w:val="00F34569"/>
    <w:rsid w:val="00F35379"/>
    <w:rsid w:val="00F36FE0"/>
    <w:rsid w:val="00F37521"/>
    <w:rsid w:val="00F40A6D"/>
    <w:rsid w:val="00F411F5"/>
    <w:rsid w:val="00F442B1"/>
    <w:rsid w:val="00F45540"/>
    <w:rsid w:val="00F45FF2"/>
    <w:rsid w:val="00F4731D"/>
    <w:rsid w:val="00F47A7B"/>
    <w:rsid w:val="00F5039D"/>
    <w:rsid w:val="00F511E4"/>
    <w:rsid w:val="00F52426"/>
    <w:rsid w:val="00F52AF3"/>
    <w:rsid w:val="00F53520"/>
    <w:rsid w:val="00F5381E"/>
    <w:rsid w:val="00F5451E"/>
    <w:rsid w:val="00F54D01"/>
    <w:rsid w:val="00F54EAD"/>
    <w:rsid w:val="00F5541D"/>
    <w:rsid w:val="00F55892"/>
    <w:rsid w:val="00F578B1"/>
    <w:rsid w:val="00F60A6B"/>
    <w:rsid w:val="00F60D58"/>
    <w:rsid w:val="00F6251D"/>
    <w:rsid w:val="00F6346D"/>
    <w:rsid w:val="00F63D67"/>
    <w:rsid w:val="00F65E3B"/>
    <w:rsid w:val="00F66567"/>
    <w:rsid w:val="00F668CC"/>
    <w:rsid w:val="00F67C1B"/>
    <w:rsid w:val="00F70D1C"/>
    <w:rsid w:val="00F711FB"/>
    <w:rsid w:val="00F715A6"/>
    <w:rsid w:val="00F715BA"/>
    <w:rsid w:val="00F7182A"/>
    <w:rsid w:val="00F71DB4"/>
    <w:rsid w:val="00F730B5"/>
    <w:rsid w:val="00F73ADB"/>
    <w:rsid w:val="00F73C10"/>
    <w:rsid w:val="00F7448F"/>
    <w:rsid w:val="00F7723E"/>
    <w:rsid w:val="00F77B51"/>
    <w:rsid w:val="00F80DAD"/>
    <w:rsid w:val="00F81EC4"/>
    <w:rsid w:val="00F8301E"/>
    <w:rsid w:val="00F839F7"/>
    <w:rsid w:val="00F83A9A"/>
    <w:rsid w:val="00F841BF"/>
    <w:rsid w:val="00F84A69"/>
    <w:rsid w:val="00F84FCF"/>
    <w:rsid w:val="00F85F22"/>
    <w:rsid w:val="00F86786"/>
    <w:rsid w:val="00F90D84"/>
    <w:rsid w:val="00F910C1"/>
    <w:rsid w:val="00F9228C"/>
    <w:rsid w:val="00F92CE7"/>
    <w:rsid w:val="00F9325F"/>
    <w:rsid w:val="00F95869"/>
    <w:rsid w:val="00F961EB"/>
    <w:rsid w:val="00F9713A"/>
    <w:rsid w:val="00F971EB"/>
    <w:rsid w:val="00FA2FAF"/>
    <w:rsid w:val="00FA3489"/>
    <w:rsid w:val="00FA3D77"/>
    <w:rsid w:val="00FA415C"/>
    <w:rsid w:val="00FA5948"/>
    <w:rsid w:val="00FA5B60"/>
    <w:rsid w:val="00FB009A"/>
    <w:rsid w:val="00FB04AC"/>
    <w:rsid w:val="00FB0D1E"/>
    <w:rsid w:val="00FB245E"/>
    <w:rsid w:val="00FB428D"/>
    <w:rsid w:val="00FB4D8B"/>
    <w:rsid w:val="00FB554D"/>
    <w:rsid w:val="00FB585B"/>
    <w:rsid w:val="00FB58EB"/>
    <w:rsid w:val="00FB5B98"/>
    <w:rsid w:val="00FB6388"/>
    <w:rsid w:val="00FB645D"/>
    <w:rsid w:val="00FB6684"/>
    <w:rsid w:val="00FC086E"/>
    <w:rsid w:val="00FC1334"/>
    <w:rsid w:val="00FC1BF1"/>
    <w:rsid w:val="00FC34CA"/>
    <w:rsid w:val="00FC45DE"/>
    <w:rsid w:val="00FC4DF1"/>
    <w:rsid w:val="00FC4E67"/>
    <w:rsid w:val="00FC6073"/>
    <w:rsid w:val="00FC637B"/>
    <w:rsid w:val="00FC6F3F"/>
    <w:rsid w:val="00FC7ADD"/>
    <w:rsid w:val="00FD04FF"/>
    <w:rsid w:val="00FD073A"/>
    <w:rsid w:val="00FD1493"/>
    <w:rsid w:val="00FD354C"/>
    <w:rsid w:val="00FD3A8B"/>
    <w:rsid w:val="00FD67DB"/>
    <w:rsid w:val="00FD69B7"/>
    <w:rsid w:val="00FD69F1"/>
    <w:rsid w:val="00FD7494"/>
    <w:rsid w:val="00FD7C4F"/>
    <w:rsid w:val="00FE0126"/>
    <w:rsid w:val="00FE2D9A"/>
    <w:rsid w:val="00FE399E"/>
    <w:rsid w:val="00FE39B3"/>
    <w:rsid w:val="00FE405A"/>
    <w:rsid w:val="00FE41AF"/>
    <w:rsid w:val="00FE4555"/>
    <w:rsid w:val="00FE53D6"/>
    <w:rsid w:val="00FE58D8"/>
    <w:rsid w:val="00FE5E88"/>
    <w:rsid w:val="00FE6116"/>
    <w:rsid w:val="00FE616C"/>
    <w:rsid w:val="00FE61E5"/>
    <w:rsid w:val="00FE6778"/>
    <w:rsid w:val="00FE6F6B"/>
    <w:rsid w:val="00FF2767"/>
    <w:rsid w:val="00FF46EB"/>
    <w:rsid w:val="00FF47E3"/>
    <w:rsid w:val="00FF6B50"/>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8FA"/>
    <w:pPr>
      <w:spacing w:before="120" w:after="120" w:line="276" w:lineRule="auto"/>
      <w:jc w:val="both"/>
    </w:pPr>
    <w:rPr>
      <w:rFonts w:ascii="Arial" w:eastAsia="Times New Roman" w:hAnsi="Arial" w:cs="Arial"/>
      <w:sz w:val="24"/>
      <w:szCs w:val="24"/>
      <w:lang w:val="en-GB"/>
    </w:rPr>
  </w:style>
  <w:style w:type="paragraph" w:styleId="Heading1">
    <w:name w:val="heading 1"/>
    <w:basedOn w:val="Normal"/>
    <w:next w:val="Normal"/>
    <w:qFormat/>
    <w:rsid w:val="00247521"/>
    <w:pPr>
      <w:keepNext/>
      <w:numPr>
        <w:numId w:val="4"/>
      </w:numPr>
      <w:spacing w:before="480" w:after="480"/>
      <w:outlineLvl w:val="0"/>
    </w:pPr>
    <w:rPr>
      <w:rFonts w:ascii="Arial Bold" w:hAnsi="Arial Bold"/>
      <w:b/>
      <w:bCs/>
      <w:lang w:val="en-US"/>
    </w:rPr>
  </w:style>
  <w:style w:type="paragraph" w:styleId="Heading2">
    <w:name w:val="heading 2"/>
    <w:basedOn w:val="Normal"/>
    <w:next w:val="Normal"/>
    <w:link w:val="Heading2Char"/>
    <w:qFormat/>
    <w:rsid w:val="007969FA"/>
    <w:pPr>
      <w:numPr>
        <w:ilvl w:val="1"/>
        <w:numId w:val="4"/>
      </w:numPr>
      <w:outlineLvl w:val="1"/>
    </w:pPr>
    <w:rPr>
      <w:bCs/>
      <w:lang w:val="en-US"/>
    </w:rPr>
  </w:style>
  <w:style w:type="paragraph" w:styleId="Heading3">
    <w:name w:val="heading 3"/>
    <w:basedOn w:val="Normal"/>
    <w:next w:val="Normal"/>
    <w:link w:val="Heading3Char"/>
    <w:qFormat/>
    <w:rsid w:val="00563B92"/>
    <w:pPr>
      <w:numPr>
        <w:ilvl w:val="2"/>
        <w:numId w:val="4"/>
      </w:numPr>
      <w:outlineLvl w:val="2"/>
    </w:pPr>
    <w:rPr>
      <w:bCs/>
    </w:rPr>
  </w:style>
  <w:style w:type="paragraph" w:styleId="Heading4">
    <w:name w:val="heading 4"/>
    <w:basedOn w:val="Normal"/>
    <w:next w:val="Normal"/>
    <w:qFormat/>
    <w:rsid w:val="004B57AC"/>
    <w:pPr>
      <w:keepNext/>
      <w:widowControl w:val="0"/>
      <w:tabs>
        <w:tab w:val="num" w:pos="1985"/>
      </w:tabs>
      <w:spacing w:after="260" w:line="260" w:lineRule="atLeast"/>
      <w:ind w:left="1985" w:hanging="567"/>
      <w:outlineLvl w:val="3"/>
    </w:pPr>
    <w:rPr>
      <w:b/>
      <w:bCs/>
      <w:sz w:val="22"/>
      <w:szCs w:val="22"/>
    </w:rPr>
  </w:style>
  <w:style w:type="paragraph" w:styleId="Heading5">
    <w:name w:val="heading 5"/>
    <w:basedOn w:val="Normal"/>
    <w:next w:val="Normal"/>
    <w:qFormat/>
    <w:rsid w:val="004B57AC"/>
    <w:pPr>
      <w:keepNext/>
      <w:widowControl w:val="0"/>
      <w:tabs>
        <w:tab w:val="num" w:pos="2552"/>
      </w:tabs>
      <w:spacing w:after="260" w:line="260" w:lineRule="atLeast"/>
      <w:ind w:left="2552" w:hanging="567"/>
      <w:outlineLvl w:val="4"/>
    </w:pPr>
    <w:rPr>
      <w:b/>
      <w:bCs/>
      <w:sz w:val="22"/>
      <w:szCs w:val="22"/>
    </w:rPr>
  </w:style>
  <w:style w:type="paragraph" w:styleId="Heading6">
    <w:name w:val="heading 6"/>
    <w:basedOn w:val="Normal"/>
    <w:next w:val="Normal"/>
    <w:qFormat/>
    <w:rsid w:val="004B57AC"/>
    <w:pPr>
      <w:keepNext/>
      <w:widowControl w:val="0"/>
      <w:tabs>
        <w:tab w:val="left" w:pos="3119"/>
      </w:tabs>
      <w:spacing w:after="260" w:line="260" w:lineRule="atLeast"/>
      <w:ind w:left="3119" w:hanging="567"/>
      <w:outlineLvl w:val="5"/>
    </w:pPr>
    <w:rPr>
      <w:b/>
      <w:bCs/>
      <w:sz w:val="22"/>
      <w:szCs w:val="22"/>
    </w:rPr>
  </w:style>
  <w:style w:type="paragraph" w:styleId="Heading9">
    <w:name w:val="heading 9"/>
    <w:basedOn w:val="Normal"/>
    <w:next w:val="Normal"/>
    <w:qFormat/>
    <w:rsid w:val="00C67693"/>
    <w:pPr>
      <w:numPr>
        <w:ilvl w:val="8"/>
        <w:numId w:val="5"/>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3FD0"/>
    <w:pPr>
      <w:tabs>
        <w:tab w:val="center" w:pos="4320"/>
        <w:tab w:val="right" w:pos="9180"/>
      </w:tabs>
    </w:pPr>
  </w:style>
  <w:style w:type="paragraph" w:styleId="PlainText">
    <w:name w:val="Plain Text"/>
    <w:basedOn w:val="Normal"/>
    <w:rsid w:val="00562870"/>
    <w:rPr>
      <w:rFonts w:ascii="Courier New" w:hAnsi="Courier New" w:cs="Courier New"/>
      <w:sz w:val="20"/>
      <w:szCs w:val="20"/>
      <w:lang w:val="en-US"/>
    </w:rPr>
  </w:style>
  <w:style w:type="paragraph" w:styleId="Footer">
    <w:name w:val="footer"/>
    <w:basedOn w:val="Normal"/>
    <w:link w:val="FooterChar"/>
    <w:uiPriority w:val="99"/>
    <w:rsid w:val="00562870"/>
    <w:pPr>
      <w:tabs>
        <w:tab w:val="center" w:pos="4320"/>
        <w:tab w:val="right" w:pos="8640"/>
      </w:tabs>
    </w:pPr>
  </w:style>
  <w:style w:type="paragraph" w:styleId="TOC1">
    <w:name w:val="toc 1"/>
    <w:basedOn w:val="Normal"/>
    <w:next w:val="Normal"/>
    <w:uiPriority w:val="39"/>
    <w:rsid w:val="00875CB0"/>
    <w:pPr>
      <w:tabs>
        <w:tab w:val="left" w:pos="480"/>
        <w:tab w:val="left" w:pos="960"/>
        <w:tab w:val="right" w:leader="dot" w:pos="8636"/>
      </w:tabs>
      <w:spacing w:before="240"/>
      <w:ind w:left="540" w:hanging="540"/>
    </w:pPr>
    <w:rPr>
      <w:rFonts w:ascii="Arial Bold" w:hAnsi="Arial Bold"/>
      <w:b/>
      <w:bCs/>
      <w:noProof/>
    </w:rPr>
  </w:style>
  <w:style w:type="character" w:styleId="Hyperlink">
    <w:name w:val="Hyperlink"/>
    <w:basedOn w:val="DefaultParagraphFont"/>
    <w:rsid w:val="00562870"/>
    <w:rPr>
      <w:color w:val="0000FF"/>
      <w:u w:val="single"/>
    </w:rPr>
  </w:style>
  <w:style w:type="paragraph" w:customStyle="1" w:styleId="heading10">
    <w:name w:val="heading1"/>
    <w:basedOn w:val="BodyTextIndent"/>
    <w:rsid w:val="00562870"/>
    <w:pPr>
      <w:spacing w:after="0"/>
      <w:ind w:left="0"/>
    </w:pPr>
    <w:rPr>
      <w:lang w:val="en-US"/>
    </w:rPr>
  </w:style>
  <w:style w:type="paragraph" w:styleId="BodyTextIndent">
    <w:name w:val="Body Text Indent"/>
    <w:basedOn w:val="Normal"/>
    <w:rsid w:val="00562870"/>
    <w:pPr>
      <w:ind w:left="283"/>
    </w:pPr>
  </w:style>
  <w:style w:type="character" w:styleId="PageNumber">
    <w:name w:val="page number"/>
    <w:basedOn w:val="DefaultParagraphFont"/>
    <w:rsid w:val="00176E1D"/>
  </w:style>
  <w:style w:type="paragraph" w:styleId="BalloonText">
    <w:name w:val="Balloon Text"/>
    <w:basedOn w:val="Normal"/>
    <w:semiHidden/>
    <w:rsid w:val="00176E1D"/>
    <w:rPr>
      <w:rFonts w:ascii="Tahoma" w:hAnsi="Tahoma" w:cs="Tahoma"/>
      <w:sz w:val="16"/>
      <w:szCs w:val="16"/>
    </w:rPr>
  </w:style>
  <w:style w:type="paragraph" w:customStyle="1" w:styleId="ssPara1">
    <w:name w:val="ssPara1"/>
    <w:basedOn w:val="Normal"/>
    <w:rsid w:val="00AB5F57"/>
    <w:pPr>
      <w:spacing w:after="260" w:line="260" w:lineRule="atLeast"/>
    </w:pPr>
    <w:rPr>
      <w:sz w:val="22"/>
      <w:szCs w:val="22"/>
      <w:lang w:eastAsia="en-GB"/>
    </w:rPr>
  </w:style>
  <w:style w:type="paragraph" w:customStyle="1" w:styleId="ssRestartNumber">
    <w:name w:val="ssRestartNumber"/>
    <w:basedOn w:val="Normal"/>
    <w:next w:val="ssPara1"/>
    <w:rsid w:val="004B57AC"/>
    <w:pPr>
      <w:tabs>
        <w:tab w:val="num" w:pos="360"/>
      </w:tabs>
      <w:spacing w:line="260" w:lineRule="atLeast"/>
      <w:ind w:left="360" w:hanging="360"/>
    </w:pPr>
    <w:rPr>
      <w:color w:val="FF0000"/>
      <w:sz w:val="22"/>
      <w:szCs w:val="22"/>
    </w:rPr>
  </w:style>
  <w:style w:type="paragraph" w:customStyle="1" w:styleId="ssNoHeading1">
    <w:name w:val="ssNoHeading1"/>
    <w:basedOn w:val="Heading1"/>
    <w:rsid w:val="004B57AC"/>
    <w:pPr>
      <w:keepNext w:val="0"/>
      <w:numPr>
        <w:ilvl w:val="1"/>
        <w:numId w:val="0"/>
      </w:numPr>
      <w:tabs>
        <w:tab w:val="num" w:pos="709"/>
      </w:tabs>
      <w:spacing w:after="260" w:line="260" w:lineRule="atLeast"/>
      <w:ind w:left="709" w:hanging="709"/>
    </w:pPr>
    <w:rPr>
      <w:rFonts w:ascii="Arial" w:hAnsi="Arial"/>
      <w:b w:val="0"/>
      <w:bCs w:val="0"/>
      <w:sz w:val="22"/>
      <w:szCs w:val="22"/>
      <w:lang w:val="en-GB"/>
    </w:rPr>
  </w:style>
  <w:style w:type="paragraph" w:styleId="Index1">
    <w:name w:val="index 1"/>
    <w:basedOn w:val="Normal"/>
    <w:next w:val="Normal"/>
    <w:autoRedefine/>
    <w:semiHidden/>
    <w:rsid w:val="006B34F8"/>
    <w:pPr>
      <w:ind w:left="240" w:hanging="240"/>
    </w:pPr>
    <w:rPr>
      <w:sz w:val="18"/>
      <w:szCs w:val="18"/>
    </w:rPr>
  </w:style>
  <w:style w:type="paragraph" w:styleId="Index2">
    <w:name w:val="index 2"/>
    <w:basedOn w:val="Normal"/>
    <w:next w:val="Normal"/>
    <w:autoRedefine/>
    <w:semiHidden/>
    <w:rsid w:val="006B34F8"/>
    <w:pPr>
      <w:ind w:left="480" w:hanging="240"/>
    </w:pPr>
    <w:rPr>
      <w:sz w:val="18"/>
      <w:szCs w:val="18"/>
    </w:rPr>
  </w:style>
  <w:style w:type="paragraph" w:styleId="Index3">
    <w:name w:val="index 3"/>
    <w:basedOn w:val="Normal"/>
    <w:next w:val="Normal"/>
    <w:autoRedefine/>
    <w:semiHidden/>
    <w:rsid w:val="006B34F8"/>
    <w:pPr>
      <w:ind w:left="720" w:hanging="240"/>
    </w:pPr>
    <w:rPr>
      <w:sz w:val="18"/>
      <w:szCs w:val="18"/>
    </w:rPr>
  </w:style>
  <w:style w:type="paragraph" w:styleId="Index4">
    <w:name w:val="index 4"/>
    <w:basedOn w:val="Normal"/>
    <w:next w:val="Normal"/>
    <w:autoRedefine/>
    <w:semiHidden/>
    <w:rsid w:val="006B34F8"/>
    <w:pPr>
      <w:ind w:left="960" w:hanging="240"/>
    </w:pPr>
    <w:rPr>
      <w:sz w:val="18"/>
      <w:szCs w:val="18"/>
    </w:rPr>
  </w:style>
  <w:style w:type="paragraph" w:styleId="Index5">
    <w:name w:val="index 5"/>
    <w:basedOn w:val="Normal"/>
    <w:next w:val="Normal"/>
    <w:autoRedefine/>
    <w:semiHidden/>
    <w:rsid w:val="006B34F8"/>
    <w:pPr>
      <w:ind w:left="1200" w:hanging="240"/>
    </w:pPr>
    <w:rPr>
      <w:sz w:val="18"/>
      <w:szCs w:val="18"/>
    </w:rPr>
  </w:style>
  <w:style w:type="paragraph" w:styleId="Index6">
    <w:name w:val="index 6"/>
    <w:basedOn w:val="Normal"/>
    <w:next w:val="Normal"/>
    <w:autoRedefine/>
    <w:semiHidden/>
    <w:rsid w:val="006B34F8"/>
    <w:pPr>
      <w:ind w:left="1440" w:hanging="240"/>
    </w:pPr>
    <w:rPr>
      <w:sz w:val="18"/>
      <w:szCs w:val="18"/>
    </w:rPr>
  </w:style>
  <w:style w:type="paragraph" w:styleId="Index7">
    <w:name w:val="index 7"/>
    <w:basedOn w:val="Normal"/>
    <w:next w:val="Normal"/>
    <w:autoRedefine/>
    <w:semiHidden/>
    <w:rsid w:val="006B34F8"/>
    <w:pPr>
      <w:ind w:left="1680" w:hanging="240"/>
    </w:pPr>
    <w:rPr>
      <w:sz w:val="18"/>
      <w:szCs w:val="18"/>
    </w:rPr>
  </w:style>
  <w:style w:type="paragraph" w:styleId="Index8">
    <w:name w:val="index 8"/>
    <w:basedOn w:val="Normal"/>
    <w:next w:val="Normal"/>
    <w:autoRedefine/>
    <w:semiHidden/>
    <w:rsid w:val="006B34F8"/>
    <w:pPr>
      <w:ind w:left="1920" w:hanging="240"/>
    </w:pPr>
    <w:rPr>
      <w:sz w:val="18"/>
      <w:szCs w:val="18"/>
    </w:rPr>
  </w:style>
  <w:style w:type="paragraph" w:styleId="Index9">
    <w:name w:val="index 9"/>
    <w:basedOn w:val="Normal"/>
    <w:next w:val="Normal"/>
    <w:autoRedefine/>
    <w:semiHidden/>
    <w:rsid w:val="006B34F8"/>
    <w:pPr>
      <w:ind w:left="2160" w:hanging="240"/>
    </w:pPr>
    <w:rPr>
      <w:sz w:val="18"/>
      <w:szCs w:val="18"/>
    </w:rPr>
  </w:style>
  <w:style w:type="paragraph" w:styleId="IndexHeading">
    <w:name w:val="index heading"/>
    <w:basedOn w:val="Normal"/>
    <w:next w:val="Index1"/>
    <w:semiHidden/>
    <w:rsid w:val="006B34F8"/>
    <w:pPr>
      <w:spacing w:before="240"/>
      <w:jc w:val="center"/>
    </w:pPr>
    <w:rPr>
      <w:b/>
      <w:bCs/>
      <w:sz w:val="26"/>
      <w:szCs w:val="26"/>
    </w:rPr>
  </w:style>
  <w:style w:type="paragraph" w:customStyle="1" w:styleId="Style1">
    <w:name w:val="Style1"/>
    <w:basedOn w:val="Index1"/>
    <w:next w:val="Normal"/>
    <w:rsid w:val="006B34F8"/>
    <w:rPr>
      <w:sz w:val="24"/>
      <w:szCs w:val="24"/>
    </w:rPr>
  </w:style>
  <w:style w:type="paragraph" w:customStyle="1" w:styleId="Header1">
    <w:name w:val="Header 1."/>
    <w:basedOn w:val="Heading1"/>
    <w:next w:val="ListNumber"/>
    <w:rsid w:val="006B34F8"/>
    <w:rPr>
      <w:rFonts w:ascii="Arial" w:hAnsi="Arial"/>
    </w:rPr>
  </w:style>
  <w:style w:type="numbering" w:styleId="111111">
    <w:name w:val="Outline List 2"/>
    <w:basedOn w:val="NoList"/>
    <w:rsid w:val="00867F97"/>
    <w:pPr>
      <w:numPr>
        <w:numId w:val="2"/>
      </w:numPr>
    </w:pPr>
  </w:style>
  <w:style w:type="paragraph" w:styleId="ListNumber">
    <w:name w:val="List Number"/>
    <w:basedOn w:val="Header1"/>
    <w:rsid w:val="005711F7"/>
    <w:rPr>
      <w:b w:val="0"/>
    </w:rPr>
  </w:style>
  <w:style w:type="paragraph" w:styleId="BodyText">
    <w:name w:val="Body Text"/>
    <w:basedOn w:val="Normal"/>
    <w:rsid w:val="001C155C"/>
  </w:style>
  <w:style w:type="paragraph" w:styleId="BodyTextFirstIndent2">
    <w:name w:val="Body Text First Indent 2"/>
    <w:basedOn w:val="BodyTextIndent"/>
    <w:rsid w:val="00C01E9D"/>
    <w:pPr>
      <w:ind w:left="360" w:firstLine="210"/>
    </w:pPr>
  </w:style>
  <w:style w:type="character" w:styleId="LineNumber">
    <w:name w:val="line number"/>
    <w:basedOn w:val="DefaultParagraphFont"/>
    <w:rsid w:val="00C01E9D"/>
  </w:style>
  <w:style w:type="paragraph" w:styleId="ListNumber2">
    <w:name w:val="List Number 2"/>
    <w:basedOn w:val="Normal"/>
    <w:rsid w:val="00C01E9D"/>
  </w:style>
  <w:style w:type="paragraph" w:styleId="List">
    <w:name w:val="List"/>
    <w:basedOn w:val="Normal"/>
    <w:rsid w:val="00581653"/>
    <w:pPr>
      <w:ind w:left="360" w:hanging="360"/>
    </w:pPr>
  </w:style>
  <w:style w:type="paragraph" w:styleId="List2">
    <w:name w:val="List 2"/>
    <w:basedOn w:val="Normal"/>
    <w:rsid w:val="00581653"/>
    <w:pPr>
      <w:ind w:left="720" w:hanging="360"/>
    </w:pPr>
  </w:style>
  <w:style w:type="paragraph" w:styleId="TOC2">
    <w:name w:val="toc 2"/>
    <w:basedOn w:val="Normal"/>
    <w:next w:val="Normal"/>
    <w:autoRedefine/>
    <w:semiHidden/>
    <w:rsid w:val="00914E19"/>
    <w:pPr>
      <w:ind w:left="240"/>
    </w:pPr>
    <w:rPr>
      <w:i/>
      <w:iCs/>
      <w:sz w:val="20"/>
      <w:szCs w:val="20"/>
    </w:rPr>
  </w:style>
  <w:style w:type="paragraph" w:styleId="TOC3">
    <w:name w:val="toc 3"/>
    <w:basedOn w:val="Normal"/>
    <w:next w:val="Normal"/>
    <w:autoRedefine/>
    <w:semiHidden/>
    <w:rsid w:val="00914E19"/>
    <w:pPr>
      <w:ind w:left="480"/>
    </w:pPr>
    <w:rPr>
      <w:sz w:val="20"/>
      <w:szCs w:val="20"/>
    </w:rPr>
  </w:style>
  <w:style w:type="paragraph" w:styleId="TOC4">
    <w:name w:val="toc 4"/>
    <w:basedOn w:val="Normal"/>
    <w:next w:val="Normal"/>
    <w:autoRedefine/>
    <w:semiHidden/>
    <w:rsid w:val="00914E19"/>
    <w:pPr>
      <w:ind w:left="720"/>
    </w:pPr>
    <w:rPr>
      <w:sz w:val="20"/>
      <w:szCs w:val="20"/>
    </w:rPr>
  </w:style>
  <w:style w:type="paragraph" w:styleId="TOC5">
    <w:name w:val="toc 5"/>
    <w:basedOn w:val="Normal"/>
    <w:next w:val="Normal"/>
    <w:autoRedefine/>
    <w:semiHidden/>
    <w:rsid w:val="00914E19"/>
    <w:pPr>
      <w:ind w:left="960"/>
    </w:pPr>
    <w:rPr>
      <w:sz w:val="20"/>
      <w:szCs w:val="20"/>
    </w:rPr>
  </w:style>
  <w:style w:type="paragraph" w:styleId="TOC6">
    <w:name w:val="toc 6"/>
    <w:basedOn w:val="Normal"/>
    <w:next w:val="Normal"/>
    <w:autoRedefine/>
    <w:semiHidden/>
    <w:rsid w:val="00914E19"/>
    <w:pPr>
      <w:ind w:left="1200"/>
    </w:pPr>
    <w:rPr>
      <w:sz w:val="20"/>
      <w:szCs w:val="20"/>
    </w:rPr>
  </w:style>
  <w:style w:type="paragraph" w:styleId="TOC7">
    <w:name w:val="toc 7"/>
    <w:basedOn w:val="Normal"/>
    <w:next w:val="Normal"/>
    <w:autoRedefine/>
    <w:semiHidden/>
    <w:rsid w:val="00914E19"/>
    <w:pPr>
      <w:ind w:left="1440"/>
    </w:pPr>
    <w:rPr>
      <w:sz w:val="20"/>
      <w:szCs w:val="20"/>
    </w:rPr>
  </w:style>
  <w:style w:type="paragraph" w:styleId="TOC8">
    <w:name w:val="toc 8"/>
    <w:basedOn w:val="Normal"/>
    <w:next w:val="Normal"/>
    <w:autoRedefine/>
    <w:semiHidden/>
    <w:rsid w:val="00914E19"/>
    <w:pPr>
      <w:ind w:left="1680"/>
    </w:pPr>
    <w:rPr>
      <w:sz w:val="20"/>
      <w:szCs w:val="20"/>
    </w:rPr>
  </w:style>
  <w:style w:type="paragraph" w:styleId="TOC9">
    <w:name w:val="toc 9"/>
    <w:basedOn w:val="Normal"/>
    <w:next w:val="Normal"/>
    <w:autoRedefine/>
    <w:semiHidden/>
    <w:rsid w:val="00914E19"/>
    <w:pPr>
      <w:ind w:left="1920"/>
    </w:pPr>
    <w:rPr>
      <w:sz w:val="20"/>
      <w:szCs w:val="20"/>
    </w:rPr>
  </w:style>
  <w:style w:type="paragraph" w:styleId="NormalWeb">
    <w:name w:val="Normal (Web)"/>
    <w:basedOn w:val="Normal"/>
    <w:rsid w:val="00FE6F6B"/>
    <w:pPr>
      <w:spacing w:after="100" w:afterAutospacing="1"/>
    </w:pPr>
    <w:rPr>
      <w:rFonts w:ascii="Verdana" w:hAnsi="Verdana"/>
      <w:lang w:val="en-US"/>
    </w:rPr>
  </w:style>
  <w:style w:type="character" w:styleId="CommentReference">
    <w:name w:val="annotation reference"/>
    <w:basedOn w:val="DefaultParagraphFont"/>
    <w:semiHidden/>
    <w:rsid w:val="000C3411"/>
    <w:rPr>
      <w:sz w:val="16"/>
      <w:szCs w:val="16"/>
    </w:rPr>
  </w:style>
  <w:style w:type="paragraph" w:styleId="CommentText">
    <w:name w:val="annotation text"/>
    <w:basedOn w:val="Normal"/>
    <w:semiHidden/>
    <w:rsid w:val="000C3411"/>
    <w:rPr>
      <w:sz w:val="20"/>
      <w:szCs w:val="20"/>
    </w:rPr>
  </w:style>
  <w:style w:type="paragraph" w:styleId="CommentSubject">
    <w:name w:val="annotation subject"/>
    <w:basedOn w:val="CommentText"/>
    <w:next w:val="CommentText"/>
    <w:semiHidden/>
    <w:rsid w:val="000C3411"/>
    <w:rPr>
      <w:b/>
      <w:bCs/>
    </w:rPr>
  </w:style>
  <w:style w:type="paragraph" w:customStyle="1" w:styleId="sspara10">
    <w:name w:val="sspara1"/>
    <w:basedOn w:val="Normal"/>
    <w:rsid w:val="0060618D"/>
    <w:pPr>
      <w:spacing w:after="260" w:line="260" w:lineRule="atLeast"/>
    </w:pPr>
    <w:rPr>
      <w:sz w:val="22"/>
      <w:szCs w:val="22"/>
      <w:lang w:val="en-US"/>
    </w:rPr>
  </w:style>
  <w:style w:type="paragraph" w:customStyle="1" w:styleId="Style2">
    <w:name w:val="Style2"/>
    <w:basedOn w:val="Heading1"/>
    <w:rsid w:val="0046044A"/>
    <w:pPr>
      <w:numPr>
        <w:ilvl w:val="2"/>
        <w:numId w:val="3"/>
      </w:numPr>
      <w:suppressAutoHyphens/>
    </w:pPr>
    <w:rPr>
      <w:rFonts w:ascii="Arial" w:hAnsi="Arial"/>
      <w:sz w:val="28"/>
      <w:szCs w:val="28"/>
    </w:rPr>
  </w:style>
  <w:style w:type="paragraph" w:customStyle="1" w:styleId="Style3">
    <w:name w:val="Style3"/>
    <w:basedOn w:val="Heading1"/>
    <w:rsid w:val="0046044A"/>
    <w:pPr>
      <w:numPr>
        <w:numId w:val="0"/>
      </w:numPr>
      <w:tabs>
        <w:tab w:val="num" w:pos="900"/>
      </w:tabs>
      <w:suppressAutoHyphens/>
      <w:ind w:left="900" w:hanging="540"/>
    </w:pPr>
    <w:rPr>
      <w:rFonts w:ascii="Arial" w:hAnsi="Arial"/>
      <w:sz w:val="28"/>
    </w:rPr>
  </w:style>
  <w:style w:type="paragraph" w:customStyle="1" w:styleId="Style4">
    <w:name w:val="Style4"/>
    <w:basedOn w:val="Heading1"/>
    <w:rsid w:val="0046044A"/>
    <w:pPr>
      <w:numPr>
        <w:numId w:val="0"/>
      </w:numPr>
      <w:tabs>
        <w:tab w:val="num" w:pos="900"/>
      </w:tabs>
      <w:suppressAutoHyphens/>
      <w:ind w:left="900" w:hanging="540"/>
    </w:pPr>
    <w:rPr>
      <w:rFonts w:ascii="Arial" w:hAnsi="Arial"/>
      <w:sz w:val="28"/>
    </w:rPr>
  </w:style>
  <w:style w:type="paragraph" w:customStyle="1" w:styleId="StylessPara112ptLeft025Firstline025">
    <w:name w:val="Style ssPara1 + 12 pt Left:  0.25&quot; First line:  0.25&quot;"/>
    <w:basedOn w:val="ssPara1"/>
    <w:rsid w:val="00C564CC"/>
    <w:pPr>
      <w:ind w:left="720"/>
    </w:pPr>
    <w:rPr>
      <w:rFonts w:cs="Times New Roman"/>
      <w:sz w:val="24"/>
      <w:szCs w:val="20"/>
    </w:rPr>
  </w:style>
  <w:style w:type="table" w:styleId="TableGrid">
    <w:name w:val="Table Grid"/>
    <w:basedOn w:val="TableNormal"/>
    <w:rsid w:val="005F3EB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3EB5"/>
    <w:pPr>
      <w:autoSpaceDE w:val="0"/>
      <w:autoSpaceDN w:val="0"/>
      <w:adjustRightInd w:val="0"/>
    </w:pPr>
    <w:rPr>
      <w:rFonts w:ascii="TimesNewRoman" w:eastAsia="Times New Roman" w:hAnsi="TimesNewRoman"/>
    </w:rPr>
  </w:style>
  <w:style w:type="paragraph" w:styleId="DocumentMap">
    <w:name w:val="Document Map"/>
    <w:basedOn w:val="Normal"/>
    <w:semiHidden/>
    <w:rsid w:val="00402E45"/>
    <w:pPr>
      <w:shd w:val="clear" w:color="auto" w:fill="000080"/>
    </w:pPr>
    <w:rPr>
      <w:rFonts w:ascii="Tahoma" w:hAnsi="Tahoma" w:cs="Tahoma"/>
      <w:sz w:val="20"/>
      <w:szCs w:val="20"/>
    </w:rPr>
  </w:style>
  <w:style w:type="paragraph" w:customStyle="1" w:styleId="Heading-1">
    <w:name w:val="Heading-1"/>
    <w:basedOn w:val="Normal"/>
    <w:rsid w:val="00875CB0"/>
    <w:pPr>
      <w:tabs>
        <w:tab w:val="num" w:pos="360"/>
      </w:tabs>
      <w:spacing w:before="360"/>
      <w:ind w:left="360" w:hanging="360"/>
      <w:outlineLvl w:val="0"/>
    </w:pPr>
    <w:rPr>
      <w:rFonts w:ascii="Arial Bold" w:hAnsi="Arial Bold"/>
      <w:b/>
      <w:bCs/>
      <w:kern w:val="24"/>
      <w:szCs w:val="32"/>
      <w:lang w:val="en-US"/>
    </w:rPr>
  </w:style>
  <w:style w:type="paragraph" w:customStyle="1" w:styleId="Heading-2">
    <w:name w:val="Heading-2"/>
    <w:basedOn w:val="Heading-1"/>
    <w:rsid w:val="00875CB0"/>
    <w:pPr>
      <w:tabs>
        <w:tab w:val="clear" w:pos="360"/>
        <w:tab w:val="left" w:pos="1080"/>
      </w:tabs>
      <w:spacing w:before="120"/>
      <w:ind w:left="1080" w:hanging="720"/>
    </w:pPr>
    <w:rPr>
      <w:rFonts w:ascii="Arial" w:hAnsi="Arial"/>
      <w:bCs w:val="0"/>
      <w:lang w:val="en-GB"/>
    </w:rPr>
  </w:style>
  <w:style w:type="paragraph" w:customStyle="1" w:styleId="StyleHeading3">
    <w:name w:val="Style Heading3"/>
    <w:basedOn w:val="Normal"/>
    <w:rsid w:val="00D842A4"/>
  </w:style>
  <w:style w:type="paragraph" w:customStyle="1" w:styleId="Heading-3">
    <w:name w:val="Heading-3"/>
    <w:basedOn w:val="Heading-2"/>
    <w:autoRedefine/>
    <w:rsid w:val="00D13CF5"/>
    <w:pPr>
      <w:tabs>
        <w:tab w:val="clear" w:pos="1080"/>
        <w:tab w:val="num" w:pos="1800"/>
      </w:tabs>
      <w:suppressAutoHyphens/>
      <w:ind w:left="1800"/>
    </w:pPr>
    <w:rPr>
      <w:b w:val="0"/>
      <w:bCs/>
    </w:rPr>
  </w:style>
  <w:style w:type="paragraph" w:customStyle="1" w:styleId="StyleHeading2NotBold">
    <w:name w:val="Style Heading 2 + Not Bold"/>
    <w:basedOn w:val="Heading2"/>
    <w:link w:val="StyleHeading2NotBoldChar"/>
    <w:uiPriority w:val="99"/>
    <w:rsid w:val="00702A33"/>
    <w:pPr>
      <w:suppressAutoHyphens/>
      <w:jc w:val="left"/>
    </w:pPr>
    <w:rPr>
      <w:bCs w:val="0"/>
    </w:rPr>
  </w:style>
  <w:style w:type="paragraph" w:customStyle="1" w:styleId="StyleHeading1Justified">
    <w:name w:val="Style Heading 1 + Justified"/>
    <w:basedOn w:val="Heading1"/>
    <w:rsid w:val="00486ED9"/>
    <w:pPr>
      <w:keepNext w:val="0"/>
      <w:suppressAutoHyphens/>
    </w:pPr>
  </w:style>
  <w:style w:type="paragraph" w:customStyle="1" w:styleId="CharCharCharChar">
    <w:name w:val="Char Char Char Char"/>
    <w:basedOn w:val="Normal"/>
    <w:rsid w:val="00C67693"/>
    <w:pPr>
      <w:tabs>
        <w:tab w:val="left" w:pos="540"/>
        <w:tab w:val="left" w:pos="1260"/>
        <w:tab w:val="left" w:pos="1800"/>
      </w:tabs>
      <w:spacing w:before="240" w:after="160" w:line="240" w:lineRule="exact"/>
    </w:pPr>
    <w:rPr>
      <w:rFonts w:cs="Times New Roman"/>
      <w:szCs w:val="20"/>
      <w:lang w:val="en-US"/>
    </w:rPr>
  </w:style>
  <w:style w:type="paragraph" w:customStyle="1" w:styleId="Level7">
    <w:name w:val="Level 7"/>
    <w:basedOn w:val="Normal"/>
    <w:next w:val="Normal"/>
    <w:rsid w:val="00C67693"/>
    <w:pPr>
      <w:numPr>
        <w:ilvl w:val="6"/>
        <w:numId w:val="5"/>
      </w:numPr>
      <w:tabs>
        <w:tab w:val="left" w:pos="3024"/>
        <w:tab w:val="left" w:pos="4032"/>
        <w:tab w:val="left" w:pos="5040"/>
        <w:tab w:val="left" w:pos="6048"/>
        <w:tab w:val="left" w:pos="7056"/>
        <w:tab w:val="left" w:pos="8064"/>
        <w:tab w:val="right" w:pos="9029"/>
      </w:tabs>
      <w:spacing w:after="240"/>
      <w:outlineLvl w:val="6"/>
    </w:pPr>
    <w:rPr>
      <w:rFonts w:cs="Times New Roman"/>
      <w:sz w:val="23"/>
      <w:szCs w:val="23"/>
    </w:rPr>
  </w:style>
  <w:style w:type="paragraph" w:customStyle="1" w:styleId="Level1">
    <w:name w:val="Level 1"/>
    <w:basedOn w:val="Normal"/>
    <w:next w:val="Normal"/>
    <w:rsid w:val="00C67693"/>
    <w:pPr>
      <w:numPr>
        <w:numId w:val="5"/>
      </w:numPr>
      <w:tabs>
        <w:tab w:val="left" w:pos="2016"/>
        <w:tab w:val="left" w:pos="3024"/>
        <w:tab w:val="left" w:pos="4032"/>
        <w:tab w:val="left" w:pos="5040"/>
        <w:tab w:val="left" w:pos="6048"/>
        <w:tab w:val="left" w:pos="7056"/>
        <w:tab w:val="left" w:pos="8064"/>
        <w:tab w:val="right" w:pos="9029"/>
      </w:tabs>
      <w:spacing w:after="240"/>
      <w:outlineLvl w:val="0"/>
    </w:pPr>
    <w:rPr>
      <w:rFonts w:cs="Times New Roman"/>
      <w:sz w:val="23"/>
      <w:szCs w:val="23"/>
    </w:rPr>
  </w:style>
  <w:style w:type="paragraph" w:customStyle="1" w:styleId="Level2">
    <w:name w:val="Level 2"/>
    <w:basedOn w:val="Normal"/>
    <w:next w:val="Normal"/>
    <w:rsid w:val="00C67693"/>
    <w:pPr>
      <w:numPr>
        <w:ilvl w:val="1"/>
        <w:numId w:val="5"/>
      </w:numPr>
      <w:tabs>
        <w:tab w:val="left" w:pos="2016"/>
        <w:tab w:val="left" w:pos="3024"/>
        <w:tab w:val="left" w:pos="4032"/>
        <w:tab w:val="left" w:pos="5040"/>
        <w:tab w:val="left" w:pos="6048"/>
        <w:tab w:val="left" w:pos="7056"/>
        <w:tab w:val="left" w:pos="8064"/>
        <w:tab w:val="right" w:pos="9029"/>
      </w:tabs>
      <w:spacing w:after="240"/>
      <w:outlineLvl w:val="1"/>
    </w:pPr>
    <w:rPr>
      <w:rFonts w:cs="Times New Roman"/>
      <w:sz w:val="23"/>
      <w:szCs w:val="23"/>
    </w:rPr>
  </w:style>
  <w:style w:type="paragraph" w:customStyle="1" w:styleId="Level3">
    <w:name w:val="Level 3"/>
    <w:basedOn w:val="Normal"/>
    <w:next w:val="Normal"/>
    <w:rsid w:val="00C67693"/>
    <w:pPr>
      <w:numPr>
        <w:ilvl w:val="2"/>
        <w:numId w:val="5"/>
      </w:numPr>
      <w:tabs>
        <w:tab w:val="left" w:pos="2016"/>
        <w:tab w:val="left" w:pos="3024"/>
        <w:tab w:val="left" w:pos="4032"/>
        <w:tab w:val="left" w:pos="5040"/>
        <w:tab w:val="left" w:pos="6048"/>
        <w:tab w:val="left" w:pos="7056"/>
        <w:tab w:val="left" w:pos="8064"/>
        <w:tab w:val="right" w:pos="9029"/>
      </w:tabs>
      <w:spacing w:after="240"/>
      <w:outlineLvl w:val="2"/>
    </w:pPr>
    <w:rPr>
      <w:rFonts w:cs="Times New Roman"/>
      <w:sz w:val="23"/>
      <w:szCs w:val="23"/>
    </w:rPr>
  </w:style>
  <w:style w:type="paragraph" w:customStyle="1" w:styleId="Level4">
    <w:name w:val="Level 4"/>
    <w:basedOn w:val="Normal"/>
    <w:next w:val="Normal"/>
    <w:rsid w:val="00C67693"/>
    <w:pPr>
      <w:numPr>
        <w:ilvl w:val="3"/>
        <w:numId w:val="5"/>
      </w:numPr>
      <w:tabs>
        <w:tab w:val="left" w:pos="3024"/>
        <w:tab w:val="left" w:pos="4032"/>
        <w:tab w:val="left" w:pos="5040"/>
        <w:tab w:val="left" w:pos="6048"/>
        <w:tab w:val="left" w:pos="7056"/>
        <w:tab w:val="left" w:pos="8064"/>
        <w:tab w:val="right" w:pos="9029"/>
      </w:tabs>
      <w:spacing w:after="240"/>
      <w:outlineLvl w:val="3"/>
    </w:pPr>
    <w:rPr>
      <w:rFonts w:cs="Times New Roman"/>
      <w:sz w:val="23"/>
      <w:szCs w:val="23"/>
    </w:rPr>
  </w:style>
  <w:style w:type="paragraph" w:customStyle="1" w:styleId="Level6">
    <w:name w:val="Level 6"/>
    <w:basedOn w:val="Normal"/>
    <w:next w:val="Normal"/>
    <w:rsid w:val="00C67693"/>
    <w:pPr>
      <w:numPr>
        <w:ilvl w:val="5"/>
        <w:numId w:val="5"/>
      </w:numPr>
      <w:tabs>
        <w:tab w:val="left" w:pos="3024"/>
        <w:tab w:val="left" w:pos="4032"/>
        <w:tab w:val="left" w:pos="5040"/>
        <w:tab w:val="left" w:pos="6048"/>
        <w:tab w:val="left" w:pos="7056"/>
        <w:tab w:val="left" w:pos="8064"/>
        <w:tab w:val="right" w:pos="9029"/>
      </w:tabs>
      <w:spacing w:after="240"/>
      <w:outlineLvl w:val="5"/>
    </w:pPr>
    <w:rPr>
      <w:rFonts w:cs="Times New Roman"/>
      <w:sz w:val="23"/>
      <w:szCs w:val="23"/>
    </w:rPr>
  </w:style>
  <w:style w:type="paragraph" w:customStyle="1" w:styleId="Level8">
    <w:name w:val="Level 8"/>
    <w:basedOn w:val="Normal"/>
    <w:next w:val="Normal"/>
    <w:rsid w:val="00C67693"/>
    <w:pPr>
      <w:numPr>
        <w:ilvl w:val="7"/>
        <w:numId w:val="5"/>
      </w:numPr>
      <w:tabs>
        <w:tab w:val="left" w:pos="3024"/>
        <w:tab w:val="left" w:pos="4032"/>
        <w:tab w:val="left" w:pos="5040"/>
        <w:tab w:val="left" w:pos="6048"/>
        <w:tab w:val="left" w:pos="7056"/>
        <w:tab w:val="left" w:pos="8064"/>
        <w:tab w:val="right" w:pos="9029"/>
      </w:tabs>
      <w:spacing w:after="240"/>
      <w:outlineLvl w:val="7"/>
    </w:pPr>
    <w:rPr>
      <w:rFonts w:cs="Times New Roman"/>
      <w:sz w:val="23"/>
      <w:szCs w:val="23"/>
    </w:rPr>
  </w:style>
  <w:style w:type="paragraph" w:styleId="FootnoteText">
    <w:name w:val="footnote text"/>
    <w:basedOn w:val="Normal"/>
    <w:semiHidden/>
    <w:rsid w:val="00C67693"/>
    <w:rPr>
      <w:rFonts w:cs="Times New Roman"/>
      <w:sz w:val="20"/>
      <w:szCs w:val="20"/>
    </w:rPr>
  </w:style>
  <w:style w:type="character" w:styleId="FootnoteReference">
    <w:name w:val="footnote reference"/>
    <w:basedOn w:val="DefaultParagraphFont"/>
    <w:semiHidden/>
    <w:rsid w:val="00C67693"/>
    <w:rPr>
      <w:rFonts w:ascii="Arial" w:hAnsi="Arial"/>
      <w:sz w:val="24"/>
      <w:vertAlign w:val="superscript"/>
      <w:lang w:val="en-US" w:eastAsia="en-US" w:bidi="ar-SA"/>
    </w:rPr>
  </w:style>
  <w:style w:type="paragraph" w:customStyle="1" w:styleId="StyleLevel5LatinArialLatin12pt">
    <w:name w:val="Style Level 5 + (Latin) Arial (Latin) 12 pt"/>
    <w:basedOn w:val="Normal"/>
    <w:rsid w:val="00C67693"/>
    <w:pPr>
      <w:numPr>
        <w:ilvl w:val="4"/>
        <w:numId w:val="5"/>
      </w:numPr>
      <w:tabs>
        <w:tab w:val="left" w:pos="3024"/>
        <w:tab w:val="left" w:pos="4032"/>
        <w:tab w:val="left" w:pos="5040"/>
        <w:tab w:val="left" w:pos="6048"/>
        <w:tab w:val="left" w:pos="7056"/>
        <w:tab w:val="left" w:pos="8064"/>
        <w:tab w:val="right" w:pos="9029"/>
      </w:tabs>
      <w:spacing w:after="240"/>
      <w:outlineLvl w:val="4"/>
    </w:pPr>
    <w:rPr>
      <w:rFonts w:cs="Times New Roman"/>
      <w:szCs w:val="23"/>
    </w:rPr>
  </w:style>
  <w:style w:type="character" w:customStyle="1" w:styleId="StyleNoHeading2TextLatin12ptBold">
    <w:name w:val="Style No Heading 2 Text + (Latin) 12 pt Bold"/>
    <w:basedOn w:val="DefaultParagraphFont"/>
    <w:rsid w:val="00C67693"/>
    <w:rPr>
      <w:rFonts w:ascii="Arial" w:hAnsi="Arial"/>
      <w:b/>
      <w:bCs/>
      <w:sz w:val="24"/>
      <w:szCs w:val="23"/>
      <w:u w:val="none"/>
      <w:lang w:val="en-US" w:eastAsia="en-US" w:bidi="ar-SA"/>
    </w:rPr>
  </w:style>
  <w:style w:type="paragraph" w:customStyle="1" w:styleId="Body2">
    <w:name w:val="Body 2"/>
    <w:basedOn w:val="Normal"/>
    <w:rsid w:val="006245C7"/>
    <w:pPr>
      <w:tabs>
        <w:tab w:val="left" w:pos="1008"/>
        <w:tab w:val="left" w:pos="2016"/>
        <w:tab w:val="left" w:pos="3024"/>
        <w:tab w:val="left" w:pos="4032"/>
        <w:tab w:val="left" w:pos="5040"/>
        <w:tab w:val="left" w:pos="6048"/>
        <w:tab w:val="left" w:pos="7056"/>
        <w:tab w:val="left" w:pos="8064"/>
        <w:tab w:val="right" w:pos="9029"/>
      </w:tabs>
      <w:spacing w:after="240"/>
      <w:ind w:left="1008"/>
    </w:pPr>
    <w:rPr>
      <w:rFonts w:cs="Times New Roman"/>
      <w:sz w:val="23"/>
      <w:szCs w:val="23"/>
    </w:rPr>
  </w:style>
  <w:style w:type="character" w:customStyle="1" w:styleId="Heading2Char">
    <w:name w:val="Heading 2 Char"/>
    <w:basedOn w:val="DefaultParagraphFont"/>
    <w:link w:val="Heading2"/>
    <w:rsid w:val="007969FA"/>
    <w:rPr>
      <w:rFonts w:ascii="Arial" w:eastAsia="Times New Roman" w:hAnsi="Arial" w:cs="Arial"/>
      <w:bCs/>
      <w:sz w:val="24"/>
      <w:szCs w:val="24"/>
    </w:rPr>
  </w:style>
  <w:style w:type="character" w:customStyle="1" w:styleId="StyleHeading2NotBoldChar">
    <w:name w:val="Style Heading 2 + Not Bold Char"/>
    <w:basedOn w:val="Heading2Char"/>
    <w:link w:val="StyleHeading2NotBold"/>
    <w:uiPriority w:val="99"/>
    <w:rsid w:val="008D6AFB"/>
  </w:style>
  <w:style w:type="paragraph" w:styleId="Revision">
    <w:name w:val="Revision"/>
    <w:hidden/>
    <w:uiPriority w:val="99"/>
    <w:semiHidden/>
    <w:rsid w:val="001F04D5"/>
    <w:rPr>
      <w:rFonts w:ascii="Arial" w:eastAsia="Times New Roman" w:hAnsi="Arial" w:cs="Arial"/>
      <w:sz w:val="24"/>
      <w:szCs w:val="24"/>
      <w:lang w:val="en-GB"/>
    </w:rPr>
  </w:style>
  <w:style w:type="paragraph" w:styleId="ListParagraph">
    <w:name w:val="List Paragraph"/>
    <w:basedOn w:val="Normal"/>
    <w:uiPriority w:val="34"/>
    <w:qFormat/>
    <w:rsid w:val="00E04615"/>
    <w:pPr>
      <w:ind w:left="720"/>
      <w:contextualSpacing/>
    </w:pPr>
  </w:style>
  <w:style w:type="character" w:customStyle="1" w:styleId="Heading3Char">
    <w:name w:val="Heading 3 Char"/>
    <w:basedOn w:val="DefaultParagraphFont"/>
    <w:link w:val="Heading3"/>
    <w:rsid w:val="00563B92"/>
    <w:rPr>
      <w:rFonts w:ascii="Arial" w:eastAsia="Times New Roman" w:hAnsi="Arial" w:cs="Arial"/>
      <w:bCs/>
      <w:sz w:val="24"/>
      <w:szCs w:val="24"/>
      <w:lang w:val="en-GB"/>
    </w:rPr>
  </w:style>
  <w:style w:type="character" w:styleId="Emphasis">
    <w:name w:val="Emphasis"/>
    <w:basedOn w:val="DefaultParagraphFont"/>
    <w:uiPriority w:val="20"/>
    <w:qFormat/>
    <w:rsid w:val="00CB7511"/>
    <w:rPr>
      <w:i/>
      <w:iCs/>
    </w:rPr>
  </w:style>
  <w:style w:type="character" w:customStyle="1" w:styleId="FooterChar">
    <w:name w:val="Footer Char"/>
    <w:basedOn w:val="DefaultParagraphFont"/>
    <w:link w:val="Footer"/>
    <w:uiPriority w:val="99"/>
    <w:rsid w:val="00823FD0"/>
    <w:rPr>
      <w:rFonts w:ascii="Arial" w:eastAsia="Times New Roman" w:hAnsi="Arial" w:cs="Arial"/>
      <w:sz w:val="24"/>
      <w:szCs w:val="24"/>
      <w:lang w:val="en-GB"/>
    </w:rPr>
  </w:style>
</w:styles>
</file>

<file path=word/webSettings.xml><?xml version="1.0" encoding="utf-8"?>
<w:webSettings xmlns:r="http://schemas.openxmlformats.org/officeDocument/2006/relationships" xmlns:w="http://schemas.openxmlformats.org/wordprocessingml/2006/main">
  <w:divs>
    <w:div w:id="1587416">
      <w:bodyDiv w:val="1"/>
      <w:marLeft w:val="0"/>
      <w:marRight w:val="0"/>
      <w:marTop w:val="0"/>
      <w:marBottom w:val="0"/>
      <w:divBdr>
        <w:top w:val="none" w:sz="0" w:space="0" w:color="auto"/>
        <w:left w:val="none" w:sz="0" w:space="0" w:color="auto"/>
        <w:bottom w:val="none" w:sz="0" w:space="0" w:color="auto"/>
        <w:right w:val="none" w:sz="0" w:space="0" w:color="auto"/>
      </w:divBdr>
    </w:div>
    <w:div w:id="256183707">
      <w:bodyDiv w:val="1"/>
      <w:marLeft w:val="0"/>
      <w:marRight w:val="0"/>
      <w:marTop w:val="0"/>
      <w:marBottom w:val="0"/>
      <w:divBdr>
        <w:top w:val="none" w:sz="0" w:space="0" w:color="auto"/>
        <w:left w:val="none" w:sz="0" w:space="0" w:color="auto"/>
        <w:bottom w:val="none" w:sz="0" w:space="0" w:color="auto"/>
        <w:right w:val="none" w:sz="0" w:space="0" w:color="auto"/>
      </w:divBdr>
    </w:div>
    <w:div w:id="383796808">
      <w:bodyDiv w:val="1"/>
      <w:marLeft w:val="0"/>
      <w:marRight w:val="0"/>
      <w:marTop w:val="0"/>
      <w:marBottom w:val="0"/>
      <w:divBdr>
        <w:top w:val="none" w:sz="0" w:space="0" w:color="auto"/>
        <w:left w:val="none" w:sz="0" w:space="0" w:color="auto"/>
        <w:bottom w:val="none" w:sz="0" w:space="0" w:color="auto"/>
        <w:right w:val="none" w:sz="0" w:space="0" w:color="auto"/>
      </w:divBdr>
    </w:div>
    <w:div w:id="397242133">
      <w:bodyDiv w:val="1"/>
      <w:marLeft w:val="0"/>
      <w:marRight w:val="0"/>
      <w:marTop w:val="0"/>
      <w:marBottom w:val="0"/>
      <w:divBdr>
        <w:top w:val="none" w:sz="0" w:space="0" w:color="auto"/>
        <w:left w:val="none" w:sz="0" w:space="0" w:color="auto"/>
        <w:bottom w:val="none" w:sz="0" w:space="0" w:color="auto"/>
        <w:right w:val="none" w:sz="0" w:space="0" w:color="auto"/>
      </w:divBdr>
    </w:div>
    <w:div w:id="434056477">
      <w:bodyDiv w:val="1"/>
      <w:marLeft w:val="0"/>
      <w:marRight w:val="0"/>
      <w:marTop w:val="0"/>
      <w:marBottom w:val="0"/>
      <w:divBdr>
        <w:top w:val="none" w:sz="0" w:space="0" w:color="auto"/>
        <w:left w:val="none" w:sz="0" w:space="0" w:color="auto"/>
        <w:bottom w:val="none" w:sz="0" w:space="0" w:color="auto"/>
        <w:right w:val="none" w:sz="0" w:space="0" w:color="auto"/>
      </w:divBdr>
    </w:div>
    <w:div w:id="465195671">
      <w:bodyDiv w:val="1"/>
      <w:marLeft w:val="0"/>
      <w:marRight w:val="0"/>
      <w:marTop w:val="0"/>
      <w:marBottom w:val="0"/>
      <w:divBdr>
        <w:top w:val="none" w:sz="0" w:space="0" w:color="auto"/>
        <w:left w:val="none" w:sz="0" w:space="0" w:color="auto"/>
        <w:bottom w:val="none" w:sz="0" w:space="0" w:color="auto"/>
        <w:right w:val="none" w:sz="0" w:space="0" w:color="auto"/>
      </w:divBdr>
      <w:divsChild>
        <w:div w:id="757553629">
          <w:marLeft w:val="0"/>
          <w:marRight w:val="0"/>
          <w:marTop w:val="0"/>
          <w:marBottom w:val="0"/>
          <w:divBdr>
            <w:top w:val="none" w:sz="0" w:space="0" w:color="auto"/>
            <w:left w:val="none" w:sz="0" w:space="0" w:color="auto"/>
            <w:bottom w:val="none" w:sz="0" w:space="0" w:color="auto"/>
            <w:right w:val="none" w:sz="0" w:space="0" w:color="auto"/>
          </w:divBdr>
          <w:divsChild>
            <w:div w:id="2057658446">
              <w:marLeft w:val="0"/>
              <w:marRight w:val="0"/>
              <w:marTop w:val="0"/>
              <w:marBottom w:val="0"/>
              <w:divBdr>
                <w:top w:val="none" w:sz="0" w:space="0" w:color="auto"/>
                <w:left w:val="none" w:sz="0" w:space="0" w:color="auto"/>
                <w:bottom w:val="none" w:sz="0" w:space="0" w:color="auto"/>
                <w:right w:val="none" w:sz="0" w:space="0" w:color="auto"/>
              </w:divBdr>
              <w:divsChild>
                <w:div w:id="2145004917">
                  <w:marLeft w:val="0"/>
                  <w:marRight w:val="0"/>
                  <w:marTop w:val="0"/>
                  <w:marBottom w:val="0"/>
                  <w:divBdr>
                    <w:top w:val="none" w:sz="0" w:space="0" w:color="auto"/>
                    <w:left w:val="none" w:sz="0" w:space="0" w:color="auto"/>
                    <w:bottom w:val="none" w:sz="0" w:space="0" w:color="auto"/>
                    <w:right w:val="none" w:sz="0" w:space="0" w:color="auto"/>
                  </w:divBdr>
                  <w:divsChild>
                    <w:div w:id="2325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00814">
      <w:bodyDiv w:val="1"/>
      <w:marLeft w:val="0"/>
      <w:marRight w:val="0"/>
      <w:marTop w:val="0"/>
      <w:marBottom w:val="0"/>
      <w:divBdr>
        <w:top w:val="none" w:sz="0" w:space="0" w:color="auto"/>
        <w:left w:val="none" w:sz="0" w:space="0" w:color="auto"/>
        <w:bottom w:val="none" w:sz="0" w:space="0" w:color="auto"/>
        <w:right w:val="none" w:sz="0" w:space="0" w:color="auto"/>
      </w:divBdr>
    </w:div>
    <w:div w:id="609316779">
      <w:bodyDiv w:val="1"/>
      <w:marLeft w:val="0"/>
      <w:marRight w:val="0"/>
      <w:marTop w:val="0"/>
      <w:marBottom w:val="0"/>
      <w:divBdr>
        <w:top w:val="none" w:sz="0" w:space="0" w:color="auto"/>
        <w:left w:val="none" w:sz="0" w:space="0" w:color="auto"/>
        <w:bottom w:val="none" w:sz="0" w:space="0" w:color="auto"/>
        <w:right w:val="none" w:sz="0" w:space="0" w:color="auto"/>
      </w:divBdr>
    </w:div>
    <w:div w:id="911547326">
      <w:bodyDiv w:val="1"/>
      <w:marLeft w:val="0"/>
      <w:marRight w:val="0"/>
      <w:marTop w:val="0"/>
      <w:marBottom w:val="0"/>
      <w:divBdr>
        <w:top w:val="none" w:sz="0" w:space="0" w:color="auto"/>
        <w:left w:val="none" w:sz="0" w:space="0" w:color="auto"/>
        <w:bottom w:val="none" w:sz="0" w:space="0" w:color="auto"/>
        <w:right w:val="none" w:sz="0" w:space="0" w:color="auto"/>
      </w:divBdr>
    </w:div>
    <w:div w:id="926617785">
      <w:bodyDiv w:val="1"/>
      <w:marLeft w:val="0"/>
      <w:marRight w:val="0"/>
      <w:marTop w:val="0"/>
      <w:marBottom w:val="0"/>
      <w:divBdr>
        <w:top w:val="none" w:sz="0" w:space="0" w:color="auto"/>
        <w:left w:val="none" w:sz="0" w:space="0" w:color="auto"/>
        <w:bottom w:val="none" w:sz="0" w:space="0" w:color="auto"/>
        <w:right w:val="none" w:sz="0" w:space="0" w:color="auto"/>
      </w:divBdr>
    </w:div>
    <w:div w:id="1524589269">
      <w:bodyDiv w:val="1"/>
      <w:marLeft w:val="0"/>
      <w:marRight w:val="0"/>
      <w:marTop w:val="0"/>
      <w:marBottom w:val="0"/>
      <w:divBdr>
        <w:top w:val="none" w:sz="0" w:space="0" w:color="auto"/>
        <w:left w:val="none" w:sz="0" w:space="0" w:color="auto"/>
        <w:bottom w:val="none" w:sz="0" w:space="0" w:color="auto"/>
        <w:right w:val="none" w:sz="0" w:space="0" w:color="auto"/>
      </w:divBdr>
    </w:div>
    <w:div w:id="1874225265">
      <w:bodyDiv w:val="1"/>
      <w:marLeft w:val="0"/>
      <w:marRight w:val="0"/>
      <w:marTop w:val="0"/>
      <w:marBottom w:val="0"/>
      <w:divBdr>
        <w:top w:val="none" w:sz="0" w:space="0" w:color="auto"/>
        <w:left w:val="none" w:sz="0" w:space="0" w:color="auto"/>
        <w:bottom w:val="none" w:sz="0" w:space="0" w:color="auto"/>
        <w:right w:val="none" w:sz="0" w:space="0" w:color="auto"/>
      </w:divBdr>
    </w:div>
    <w:div w:id="190895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gov.a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a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431E4-E993-4407-BF53-DFDD72B3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Manager> </Manager>
  <Company> TRA</Company>
  <LinksUpToDate>false</LinksUpToDate>
  <CharactersWithSpaces>14183</CharactersWithSpaces>
  <SharedDoc>false</SharedDoc>
  <HLinks>
    <vt:vector size="6" baseType="variant">
      <vt:variant>
        <vt:i4>7340137</vt:i4>
      </vt:variant>
      <vt:variant>
        <vt:i4>3</vt:i4>
      </vt:variant>
      <vt:variant>
        <vt:i4>0</vt:i4>
      </vt:variant>
      <vt:variant>
        <vt:i4>5</vt:i4>
      </vt:variant>
      <vt:variant>
        <vt:lpwstr>http://www.tra.ae/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vladimir.bulatovic</dc:creator>
  <cp:keywords> </cp:keywords>
  <dc:description/>
  <cp:lastModifiedBy>stephen.nelson</cp:lastModifiedBy>
  <cp:revision>2</cp:revision>
  <cp:lastPrinted>2010-09-23T04:58:00Z</cp:lastPrinted>
  <dcterms:created xsi:type="dcterms:W3CDTF">2010-10-05T07:48:00Z</dcterms:created>
  <dcterms:modified xsi:type="dcterms:W3CDTF">2010-10-05T07:48:00Z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