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90" w:rsidRPr="00B460EE" w:rsidRDefault="000F5490" w:rsidP="00941BB0">
      <w:pPr>
        <w:suppressAutoHyphens/>
        <w:jc w:val="both"/>
        <w:rPr>
          <w:rFonts w:ascii="Times New Roman" w:hAnsi="Times New Roman" w:cs="Times New Roman"/>
        </w:rPr>
      </w:pPr>
    </w:p>
    <w:p w:rsidR="000F5490" w:rsidRPr="00B460EE" w:rsidRDefault="000F5490" w:rsidP="00941BB0">
      <w:pPr>
        <w:suppressAutoHyphens/>
        <w:jc w:val="both"/>
        <w:rPr>
          <w:rFonts w:ascii="Times New Roman" w:hAnsi="Times New Roman" w:cs="Times New Roman"/>
        </w:rPr>
      </w:pPr>
    </w:p>
    <w:p w:rsidR="000F5490" w:rsidRPr="00B460EE" w:rsidRDefault="000F5490" w:rsidP="00941BB0">
      <w:pPr>
        <w:suppressAutoHyphens/>
        <w:jc w:val="both"/>
        <w:rPr>
          <w:rFonts w:ascii="Times New Roman" w:hAnsi="Times New Roman" w:cs="Times New Roman"/>
        </w:rPr>
      </w:pPr>
    </w:p>
    <w:p w:rsidR="000F5490" w:rsidRPr="00B460EE" w:rsidRDefault="000F5490" w:rsidP="00941BB0">
      <w:pPr>
        <w:suppressAutoHyphens/>
        <w:jc w:val="both"/>
        <w:rPr>
          <w:rFonts w:ascii="Times New Roman" w:hAnsi="Times New Roman" w:cs="Times New Roman"/>
        </w:rPr>
      </w:pPr>
    </w:p>
    <w:p w:rsidR="000F5490" w:rsidRPr="00B460EE" w:rsidRDefault="000F5490" w:rsidP="00941BB0">
      <w:pPr>
        <w:suppressAutoHyphens/>
        <w:jc w:val="both"/>
        <w:rPr>
          <w:rFonts w:ascii="Times New Roman" w:hAnsi="Times New Roman" w:cs="Times New Roman"/>
        </w:rPr>
      </w:pPr>
    </w:p>
    <w:p w:rsidR="000F5490" w:rsidRPr="00B460EE" w:rsidRDefault="000F5490" w:rsidP="00941BB0">
      <w:pPr>
        <w:suppressAutoHyphens/>
        <w:jc w:val="both"/>
        <w:rPr>
          <w:rFonts w:ascii="Times New Roman" w:hAnsi="Times New Roman" w:cs="Times New Roman"/>
        </w:rPr>
      </w:pPr>
    </w:p>
    <w:p w:rsidR="000F5490" w:rsidRPr="00B460EE" w:rsidRDefault="000F5490" w:rsidP="00941BB0">
      <w:pPr>
        <w:suppressAutoHyphens/>
        <w:jc w:val="both"/>
        <w:rPr>
          <w:rFonts w:ascii="Times New Roman" w:hAnsi="Times New Roman" w:cs="Times New Roman"/>
        </w:rPr>
      </w:pPr>
    </w:p>
    <w:p w:rsidR="000F5490" w:rsidRPr="00B460EE" w:rsidRDefault="000F5490" w:rsidP="00FC0B30">
      <w:pPr>
        <w:suppressAutoHyphens/>
        <w:jc w:val="center"/>
        <w:rPr>
          <w:rFonts w:ascii="Times New Roman" w:hAnsi="Times New Roman" w:cs="Times New Roman"/>
          <w:b/>
          <w:bCs/>
          <w:sz w:val="44"/>
          <w:szCs w:val="44"/>
        </w:rPr>
      </w:pPr>
    </w:p>
    <w:p w:rsidR="000F5490" w:rsidRPr="00B460EE" w:rsidRDefault="000F5490" w:rsidP="00FC0B30">
      <w:pPr>
        <w:suppressAutoHyphens/>
        <w:jc w:val="center"/>
        <w:rPr>
          <w:rFonts w:ascii="Times New Roman" w:hAnsi="Times New Roman" w:cs="Times New Roman"/>
          <w:b/>
          <w:bCs/>
          <w:sz w:val="44"/>
          <w:szCs w:val="44"/>
        </w:rPr>
      </w:pPr>
    </w:p>
    <w:tbl>
      <w:tblPr>
        <w:tblW w:w="0" w:type="auto"/>
        <w:tblLook w:val="0000"/>
      </w:tblPr>
      <w:tblGrid>
        <w:gridCol w:w="8677"/>
      </w:tblGrid>
      <w:tr w:rsidR="000F5490" w:rsidRPr="00B460EE" w:rsidTr="002467D5">
        <w:trPr>
          <w:cantSplit/>
        </w:trPr>
        <w:tc>
          <w:tcPr>
            <w:tcW w:w="8677" w:type="dxa"/>
            <w:tcBorders>
              <w:bottom w:val="single" w:sz="36" w:space="0" w:color="auto"/>
            </w:tcBorders>
          </w:tcPr>
          <w:p w:rsidR="000F5490" w:rsidRPr="00B460EE" w:rsidRDefault="000F5490" w:rsidP="002467D5">
            <w:pPr>
              <w:pStyle w:val="Header"/>
              <w:tabs>
                <w:tab w:val="clear" w:pos="4320"/>
                <w:tab w:val="clear" w:pos="8640"/>
              </w:tabs>
              <w:suppressAutoHyphens/>
              <w:jc w:val="both"/>
            </w:pPr>
          </w:p>
        </w:tc>
      </w:tr>
      <w:tr w:rsidR="000F5490" w:rsidRPr="00B460EE" w:rsidTr="002467D5">
        <w:trPr>
          <w:cantSplit/>
          <w:trHeight w:val="1064"/>
        </w:trPr>
        <w:tc>
          <w:tcPr>
            <w:tcW w:w="8677" w:type="dxa"/>
            <w:tcBorders>
              <w:top w:val="single" w:sz="36" w:space="0" w:color="auto"/>
              <w:bottom w:val="single" w:sz="36" w:space="0" w:color="auto"/>
            </w:tcBorders>
          </w:tcPr>
          <w:p w:rsidR="000F5490" w:rsidRPr="00B460EE" w:rsidRDefault="000F5490" w:rsidP="002467D5">
            <w:pPr>
              <w:pStyle w:val="Header"/>
              <w:tabs>
                <w:tab w:val="clear" w:pos="4320"/>
                <w:tab w:val="clear" w:pos="8640"/>
              </w:tabs>
              <w:suppressAutoHyphens/>
              <w:jc w:val="center"/>
              <w:rPr>
                <w:b/>
              </w:rPr>
            </w:pPr>
          </w:p>
          <w:p w:rsidR="000F5490" w:rsidRPr="00B460EE" w:rsidRDefault="000F5490" w:rsidP="00FC0B30">
            <w:pPr>
              <w:pStyle w:val="Header"/>
              <w:suppressAutoHyphens/>
              <w:jc w:val="center"/>
              <w:rPr>
                <w:b/>
                <w:sz w:val="56"/>
                <w:szCs w:val="56"/>
              </w:rPr>
            </w:pPr>
            <w:r w:rsidRPr="00B460EE">
              <w:rPr>
                <w:rFonts w:ascii="Times New Roman" w:hAnsi="Times New Roman" w:cs="Times New Roman"/>
                <w:b/>
                <w:bCs/>
                <w:sz w:val="56"/>
                <w:szCs w:val="56"/>
              </w:rPr>
              <w:t>Guidelines</w:t>
            </w:r>
          </w:p>
        </w:tc>
      </w:tr>
      <w:tr w:rsidR="000F5490" w:rsidRPr="00B460EE" w:rsidTr="002467D5">
        <w:trPr>
          <w:cantSplit/>
          <w:trHeight w:val="1485"/>
        </w:trPr>
        <w:tc>
          <w:tcPr>
            <w:tcW w:w="8677" w:type="dxa"/>
            <w:tcBorders>
              <w:top w:val="single" w:sz="36" w:space="0" w:color="auto"/>
            </w:tcBorders>
          </w:tcPr>
          <w:p w:rsidR="000F5490" w:rsidRPr="00B460EE" w:rsidRDefault="000F5490" w:rsidP="002467D5">
            <w:pPr>
              <w:pStyle w:val="Header"/>
              <w:tabs>
                <w:tab w:val="clear" w:pos="4320"/>
                <w:tab w:val="clear" w:pos="8640"/>
              </w:tabs>
              <w:suppressAutoHyphens/>
              <w:rPr>
                <w:b/>
                <w:bCs/>
              </w:rPr>
            </w:pPr>
          </w:p>
          <w:p w:rsidR="000F5490" w:rsidRPr="00B460EE" w:rsidRDefault="000F5490" w:rsidP="002467D5">
            <w:pPr>
              <w:pStyle w:val="Header"/>
              <w:tabs>
                <w:tab w:val="clear" w:pos="4320"/>
                <w:tab w:val="clear" w:pos="8640"/>
              </w:tabs>
              <w:suppressAutoHyphens/>
              <w:rPr>
                <w:b/>
                <w:bCs/>
              </w:rPr>
            </w:pPr>
          </w:p>
          <w:p w:rsidR="000F5490" w:rsidRDefault="000F5490" w:rsidP="00FC0B30">
            <w:pPr>
              <w:pStyle w:val="Header"/>
              <w:suppressAutoHyphens/>
              <w:jc w:val="center"/>
              <w:rPr>
                <w:b/>
                <w:sz w:val="44"/>
                <w:szCs w:val="44"/>
              </w:rPr>
            </w:pPr>
            <w:r w:rsidRPr="00B460EE">
              <w:rPr>
                <w:b/>
                <w:bCs/>
                <w:sz w:val="40"/>
                <w:szCs w:val="40"/>
              </w:rPr>
              <w:t xml:space="preserve">Market Definition and Competition Assessment </w:t>
            </w:r>
            <w:r w:rsidRPr="00B460EE">
              <w:rPr>
                <w:b/>
                <w:sz w:val="44"/>
                <w:szCs w:val="44"/>
              </w:rPr>
              <w:t>Guidelines</w:t>
            </w:r>
          </w:p>
          <w:p w:rsidR="00B241CD" w:rsidRPr="00B241CD" w:rsidRDefault="00B241CD" w:rsidP="00FC0B30">
            <w:pPr>
              <w:pStyle w:val="Header"/>
              <w:suppressAutoHyphens/>
              <w:jc w:val="center"/>
              <w:rPr>
                <w:b/>
              </w:rPr>
            </w:pPr>
          </w:p>
          <w:p w:rsidR="00B241CD" w:rsidRPr="00B241CD" w:rsidRDefault="00D1422C" w:rsidP="00BA49AE">
            <w:pPr>
              <w:pStyle w:val="Header"/>
              <w:suppressAutoHyphens/>
              <w:jc w:val="center"/>
              <w:rPr>
                <w:b/>
              </w:rPr>
            </w:pPr>
            <w:r w:rsidRPr="00BA49AE">
              <w:rPr>
                <w:b/>
              </w:rPr>
              <w:t xml:space="preserve">Version </w:t>
            </w:r>
            <w:r w:rsidR="00BA49AE" w:rsidRPr="00BA49AE">
              <w:rPr>
                <w:b/>
              </w:rPr>
              <w:t>1</w:t>
            </w:r>
            <w:r w:rsidRPr="00BA49AE">
              <w:rPr>
                <w:b/>
              </w:rPr>
              <w:t>.</w:t>
            </w:r>
            <w:r w:rsidR="00BA49AE" w:rsidRPr="00BA49AE">
              <w:rPr>
                <w:b/>
              </w:rPr>
              <w:t>0</w:t>
            </w:r>
          </w:p>
          <w:p w:rsidR="000F5490" w:rsidRPr="00B460EE" w:rsidRDefault="000F5490" w:rsidP="002467D5">
            <w:pPr>
              <w:pStyle w:val="Header"/>
              <w:tabs>
                <w:tab w:val="clear" w:pos="4320"/>
                <w:tab w:val="clear" w:pos="8640"/>
              </w:tabs>
              <w:suppressAutoHyphens/>
              <w:jc w:val="center"/>
              <w:rPr>
                <w:b/>
                <w:sz w:val="40"/>
                <w:szCs w:val="40"/>
              </w:rPr>
            </w:pPr>
          </w:p>
        </w:tc>
      </w:tr>
      <w:tr w:rsidR="000F5490" w:rsidRPr="00B460EE" w:rsidTr="002467D5">
        <w:trPr>
          <w:cantSplit/>
          <w:trHeight w:val="405"/>
        </w:trPr>
        <w:tc>
          <w:tcPr>
            <w:tcW w:w="8677" w:type="dxa"/>
          </w:tcPr>
          <w:p w:rsidR="000F5490" w:rsidRPr="00B460EE" w:rsidRDefault="000F5490" w:rsidP="002467D5">
            <w:pPr>
              <w:pStyle w:val="Header"/>
              <w:tabs>
                <w:tab w:val="clear" w:pos="4320"/>
                <w:tab w:val="clear" w:pos="8640"/>
              </w:tabs>
              <w:suppressAutoHyphens/>
              <w:jc w:val="center"/>
            </w:pPr>
          </w:p>
          <w:p w:rsidR="000F5490" w:rsidRPr="00B460EE" w:rsidRDefault="000F5490" w:rsidP="002467D5">
            <w:pPr>
              <w:pStyle w:val="Header"/>
              <w:tabs>
                <w:tab w:val="clear" w:pos="4320"/>
                <w:tab w:val="clear" w:pos="8640"/>
              </w:tabs>
              <w:suppressAutoHyphens/>
              <w:jc w:val="center"/>
            </w:pPr>
          </w:p>
        </w:tc>
      </w:tr>
      <w:tr w:rsidR="000F5490" w:rsidRPr="00B460EE" w:rsidTr="002467D5">
        <w:trPr>
          <w:cantSplit/>
          <w:trHeight w:val="1064"/>
        </w:trPr>
        <w:tc>
          <w:tcPr>
            <w:tcW w:w="8677" w:type="dxa"/>
            <w:tcBorders>
              <w:bottom w:val="single" w:sz="36" w:space="0" w:color="auto"/>
            </w:tcBorders>
          </w:tcPr>
          <w:p w:rsidR="000F5490" w:rsidRPr="00B460EE" w:rsidRDefault="000F5490" w:rsidP="002467D5">
            <w:pPr>
              <w:suppressAutoHyphens/>
              <w:jc w:val="center"/>
              <w:rPr>
                <w:b/>
              </w:rPr>
            </w:pPr>
          </w:p>
          <w:p w:rsidR="000F5490" w:rsidRPr="00B460EE" w:rsidRDefault="000F5490" w:rsidP="00BA49AE">
            <w:pPr>
              <w:suppressAutoHyphens/>
              <w:jc w:val="center"/>
              <w:rPr>
                <w:b/>
              </w:rPr>
            </w:pPr>
            <w:r w:rsidRPr="00B460EE">
              <w:rPr>
                <w:b/>
              </w:rPr>
              <w:t xml:space="preserve">Issue Date: </w:t>
            </w:r>
            <w:r w:rsidR="00BA49AE">
              <w:rPr>
                <w:b/>
              </w:rPr>
              <w:t>30</w:t>
            </w:r>
            <w:r w:rsidR="00BA49AE" w:rsidRPr="00B460EE">
              <w:rPr>
                <w:b/>
              </w:rPr>
              <w:t xml:space="preserve"> </w:t>
            </w:r>
            <w:r w:rsidR="00580299">
              <w:rPr>
                <w:b/>
              </w:rPr>
              <w:t>September</w:t>
            </w:r>
            <w:r w:rsidR="00580299" w:rsidRPr="00B460EE">
              <w:rPr>
                <w:b/>
              </w:rPr>
              <w:t xml:space="preserve"> </w:t>
            </w:r>
            <w:r w:rsidRPr="00B460EE">
              <w:rPr>
                <w:b/>
              </w:rPr>
              <w:t>2010</w:t>
            </w:r>
          </w:p>
          <w:p w:rsidR="000F5490" w:rsidRPr="00B460EE" w:rsidRDefault="000F5490" w:rsidP="006716F4">
            <w:pPr>
              <w:suppressAutoHyphens/>
              <w:jc w:val="center"/>
              <w:rPr>
                <w:b/>
              </w:rPr>
            </w:pPr>
          </w:p>
          <w:p w:rsidR="000F5490" w:rsidRPr="00B460EE" w:rsidRDefault="000F5490" w:rsidP="002467D5">
            <w:pPr>
              <w:suppressAutoHyphens/>
              <w:jc w:val="center"/>
              <w:rPr>
                <w:b/>
              </w:rPr>
            </w:pPr>
          </w:p>
          <w:p w:rsidR="000F5490" w:rsidRPr="00B460EE" w:rsidRDefault="000F5490" w:rsidP="002467D5">
            <w:pPr>
              <w:suppressAutoHyphens/>
              <w:jc w:val="center"/>
              <w:rPr>
                <w:b/>
              </w:rPr>
            </w:pPr>
          </w:p>
          <w:p w:rsidR="000F5490" w:rsidRPr="00B460EE" w:rsidRDefault="000F5490" w:rsidP="002467D5">
            <w:pPr>
              <w:suppressAutoHyphens/>
              <w:jc w:val="center"/>
              <w:rPr>
                <w:b/>
                <w:bCs/>
              </w:rPr>
            </w:pPr>
          </w:p>
        </w:tc>
      </w:tr>
    </w:tbl>
    <w:p w:rsidR="000F5490" w:rsidRPr="00B460EE" w:rsidRDefault="000F5490" w:rsidP="001F66B1">
      <w:pPr>
        <w:suppressAutoHyphens/>
        <w:jc w:val="both"/>
        <w:outlineLvl w:val="0"/>
        <w:rPr>
          <w:rFonts w:ascii="Times New Roman" w:hAnsi="Times New Roman" w:cs="Times New Roman"/>
          <w:b/>
          <w:bCs/>
        </w:rPr>
      </w:pPr>
    </w:p>
    <w:p w:rsidR="00D66351" w:rsidRPr="00550F3E" w:rsidRDefault="000F5490" w:rsidP="00D66351">
      <w:pPr>
        <w:suppressAutoHyphens/>
        <w:rPr>
          <w:b/>
          <w:bCs/>
        </w:rPr>
      </w:pPr>
      <w:r w:rsidRPr="00B460EE">
        <w:rPr>
          <w:rFonts w:ascii="Times New Roman" w:hAnsi="Times New Roman" w:cs="Times New Roman"/>
          <w:b/>
          <w:bCs/>
        </w:rPr>
        <w:br w:type="page"/>
      </w:r>
      <w:r w:rsidR="00D66351">
        <w:rPr>
          <w:b/>
          <w:bCs/>
        </w:rPr>
        <w:lastRenderedPageBreak/>
        <w:t>Version Control:</w:t>
      </w:r>
    </w:p>
    <w:tbl>
      <w:tblPr>
        <w:tblpPr w:leftFromText="180" w:rightFromText="180" w:vertAnchor="text" w:tblpY="279"/>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350"/>
        <w:gridCol w:w="2869"/>
        <w:gridCol w:w="4784"/>
      </w:tblGrid>
      <w:tr w:rsidR="00D66351" w:rsidRPr="00550F3E" w:rsidTr="00D66351">
        <w:trPr>
          <w:tblCellSpacing w:w="1440" w:type="nil"/>
        </w:trPr>
        <w:tc>
          <w:tcPr>
            <w:tcW w:w="1350" w:type="dxa"/>
          </w:tcPr>
          <w:p w:rsidR="00D66351" w:rsidRPr="00550F3E" w:rsidRDefault="00D66351" w:rsidP="00D66351">
            <w:pPr>
              <w:suppressAutoHyphens/>
              <w:jc w:val="center"/>
              <w:rPr>
                <w:b/>
                <w:bCs/>
              </w:rPr>
            </w:pPr>
            <w:r>
              <w:rPr>
                <w:b/>
                <w:bCs/>
              </w:rPr>
              <w:t>Version:</w:t>
            </w:r>
          </w:p>
        </w:tc>
        <w:tc>
          <w:tcPr>
            <w:tcW w:w="2869" w:type="dxa"/>
          </w:tcPr>
          <w:p w:rsidR="00D66351" w:rsidRPr="00550F3E" w:rsidRDefault="00D66351" w:rsidP="00D66351">
            <w:pPr>
              <w:suppressAutoHyphens/>
              <w:jc w:val="center"/>
              <w:rPr>
                <w:b/>
                <w:bCs/>
              </w:rPr>
            </w:pPr>
            <w:r>
              <w:rPr>
                <w:b/>
                <w:bCs/>
              </w:rPr>
              <w:t>Issue Date:</w:t>
            </w:r>
          </w:p>
        </w:tc>
        <w:tc>
          <w:tcPr>
            <w:tcW w:w="4784" w:type="dxa"/>
          </w:tcPr>
          <w:p w:rsidR="00D66351" w:rsidRPr="00550F3E" w:rsidRDefault="00D66351" w:rsidP="00D66351">
            <w:pPr>
              <w:suppressAutoHyphens/>
              <w:jc w:val="center"/>
              <w:rPr>
                <w:b/>
                <w:bCs/>
              </w:rPr>
            </w:pPr>
            <w:r>
              <w:rPr>
                <w:b/>
                <w:bCs/>
              </w:rPr>
              <w:t>Reason for Issue:</w:t>
            </w:r>
          </w:p>
        </w:tc>
      </w:tr>
      <w:tr w:rsidR="00D66351" w:rsidRPr="00550F3E" w:rsidTr="00D66351">
        <w:trPr>
          <w:tblCellSpacing w:w="1440" w:type="nil"/>
        </w:trPr>
        <w:tc>
          <w:tcPr>
            <w:tcW w:w="1350" w:type="dxa"/>
            <w:vAlign w:val="center"/>
          </w:tcPr>
          <w:p w:rsidR="00D66351" w:rsidRPr="00542BF4" w:rsidRDefault="00D66351" w:rsidP="00D66351">
            <w:pPr>
              <w:jc w:val="center"/>
            </w:pPr>
            <w:r>
              <w:t>1.0</w:t>
            </w:r>
          </w:p>
        </w:tc>
        <w:tc>
          <w:tcPr>
            <w:tcW w:w="2869" w:type="dxa"/>
            <w:vAlign w:val="center"/>
          </w:tcPr>
          <w:p w:rsidR="00D66351" w:rsidRPr="00550F3E" w:rsidRDefault="00D66351" w:rsidP="00D66351">
            <w:pPr>
              <w:suppressAutoHyphens/>
              <w:jc w:val="center"/>
            </w:pPr>
            <w:r>
              <w:t>30 September 2010</w:t>
            </w:r>
          </w:p>
        </w:tc>
        <w:tc>
          <w:tcPr>
            <w:tcW w:w="4784" w:type="dxa"/>
            <w:vAlign w:val="center"/>
          </w:tcPr>
          <w:p w:rsidR="00D66351" w:rsidRDefault="00D66351" w:rsidP="00D66351">
            <w:pPr>
              <w:suppressAutoHyphens/>
              <w:jc w:val="center"/>
            </w:pPr>
            <w:r>
              <w:t>Initial Issuance</w:t>
            </w:r>
          </w:p>
        </w:tc>
      </w:tr>
      <w:tr w:rsidR="00D66351" w:rsidRPr="00550F3E" w:rsidTr="00D66351">
        <w:trPr>
          <w:tblCellSpacing w:w="1440" w:type="nil"/>
        </w:trPr>
        <w:tc>
          <w:tcPr>
            <w:tcW w:w="1350" w:type="dxa"/>
            <w:vAlign w:val="center"/>
          </w:tcPr>
          <w:p w:rsidR="00D66351" w:rsidRDefault="00D66351" w:rsidP="00D66351">
            <w:pPr>
              <w:jc w:val="center"/>
            </w:pPr>
          </w:p>
        </w:tc>
        <w:tc>
          <w:tcPr>
            <w:tcW w:w="2869" w:type="dxa"/>
            <w:vAlign w:val="center"/>
          </w:tcPr>
          <w:p w:rsidR="00D66351" w:rsidRDefault="00D66351" w:rsidP="00D66351">
            <w:pPr>
              <w:jc w:val="center"/>
            </w:pPr>
          </w:p>
        </w:tc>
        <w:tc>
          <w:tcPr>
            <w:tcW w:w="4784" w:type="dxa"/>
            <w:vAlign w:val="center"/>
          </w:tcPr>
          <w:p w:rsidR="00D66351" w:rsidRDefault="00D66351" w:rsidP="00D66351">
            <w:pPr>
              <w:jc w:val="center"/>
              <w:rPr>
                <w:b/>
                <w:bCs/>
                <w:noProof/>
              </w:rPr>
            </w:pPr>
          </w:p>
        </w:tc>
      </w:tr>
      <w:tr w:rsidR="00D66351" w:rsidRPr="00550F3E" w:rsidTr="00D66351">
        <w:trPr>
          <w:tblCellSpacing w:w="1440" w:type="nil"/>
        </w:trPr>
        <w:tc>
          <w:tcPr>
            <w:tcW w:w="1350" w:type="dxa"/>
          </w:tcPr>
          <w:p w:rsidR="00D66351" w:rsidRPr="001755C9" w:rsidRDefault="00D66351" w:rsidP="00D66351"/>
        </w:tc>
        <w:tc>
          <w:tcPr>
            <w:tcW w:w="2869" w:type="dxa"/>
          </w:tcPr>
          <w:p w:rsidR="00D66351" w:rsidRPr="001755C9" w:rsidRDefault="00D66351" w:rsidP="00D66351"/>
        </w:tc>
        <w:tc>
          <w:tcPr>
            <w:tcW w:w="4784" w:type="dxa"/>
          </w:tcPr>
          <w:p w:rsidR="00D66351" w:rsidRPr="001755C9" w:rsidRDefault="00D66351" w:rsidP="00D66351"/>
        </w:tc>
      </w:tr>
      <w:tr w:rsidR="00D66351" w:rsidRPr="00550F3E" w:rsidTr="00D66351">
        <w:trPr>
          <w:tblCellSpacing w:w="1440" w:type="nil"/>
        </w:trPr>
        <w:tc>
          <w:tcPr>
            <w:tcW w:w="1350" w:type="dxa"/>
          </w:tcPr>
          <w:p w:rsidR="00D66351" w:rsidRPr="001755C9" w:rsidRDefault="00D66351" w:rsidP="00D66351"/>
        </w:tc>
        <w:tc>
          <w:tcPr>
            <w:tcW w:w="2869" w:type="dxa"/>
          </w:tcPr>
          <w:p w:rsidR="00D66351" w:rsidRPr="001755C9" w:rsidRDefault="00D66351" w:rsidP="00D66351"/>
        </w:tc>
        <w:tc>
          <w:tcPr>
            <w:tcW w:w="4784" w:type="dxa"/>
          </w:tcPr>
          <w:p w:rsidR="00D66351" w:rsidRPr="001755C9" w:rsidRDefault="00D66351" w:rsidP="00D66351"/>
        </w:tc>
      </w:tr>
      <w:tr w:rsidR="00D66351" w:rsidRPr="00550F3E" w:rsidTr="00D66351">
        <w:trPr>
          <w:tblCellSpacing w:w="1440" w:type="nil"/>
        </w:trPr>
        <w:tc>
          <w:tcPr>
            <w:tcW w:w="1350" w:type="dxa"/>
          </w:tcPr>
          <w:p w:rsidR="00D66351" w:rsidRPr="001755C9" w:rsidRDefault="00D66351" w:rsidP="00D66351"/>
        </w:tc>
        <w:tc>
          <w:tcPr>
            <w:tcW w:w="2869" w:type="dxa"/>
          </w:tcPr>
          <w:p w:rsidR="00D66351" w:rsidRPr="001755C9" w:rsidRDefault="00D66351" w:rsidP="00D66351"/>
        </w:tc>
        <w:tc>
          <w:tcPr>
            <w:tcW w:w="4784" w:type="dxa"/>
          </w:tcPr>
          <w:p w:rsidR="00D66351" w:rsidRPr="001755C9" w:rsidRDefault="00D66351" w:rsidP="00D66351"/>
        </w:tc>
      </w:tr>
      <w:tr w:rsidR="00D66351" w:rsidRPr="00550F3E" w:rsidTr="00D66351">
        <w:trPr>
          <w:tblCellSpacing w:w="1440" w:type="nil"/>
        </w:trPr>
        <w:tc>
          <w:tcPr>
            <w:tcW w:w="1350" w:type="dxa"/>
          </w:tcPr>
          <w:p w:rsidR="00D66351" w:rsidRPr="001755C9" w:rsidRDefault="00D66351" w:rsidP="00D66351"/>
        </w:tc>
        <w:tc>
          <w:tcPr>
            <w:tcW w:w="2869" w:type="dxa"/>
          </w:tcPr>
          <w:p w:rsidR="00D66351" w:rsidRPr="001755C9" w:rsidRDefault="00D66351" w:rsidP="00D66351"/>
        </w:tc>
        <w:tc>
          <w:tcPr>
            <w:tcW w:w="4784" w:type="dxa"/>
          </w:tcPr>
          <w:p w:rsidR="00D66351" w:rsidRPr="001755C9" w:rsidRDefault="00D66351" w:rsidP="00D66351"/>
        </w:tc>
      </w:tr>
    </w:tbl>
    <w:p w:rsidR="00D66351" w:rsidRPr="00550F3E" w:rsidRDefault="00D66351" w:rsidP="00D66351">
      <w:pPr>
        <w:suppressAutoHyphens/>
        <w:rPr>
          <w:b/>
        </w:rPr>
      </w:pPr>
    </w:p>
    <w:p w:rsidR="00D66351" w:rsidRPr="00550F3E" w:rsidRDefault="00D66351" w:rsidP="00D66351">
      <w:pPr>
        <w:suppressAutoHyphens/>
        <w:rPr>
          <w:b/>
        </w:rPr>
      </w:pPr>
    </w:p>
    <w:p w:rsidR="000F5490" w:rsidRPr="00B460EE" w:rsidRDefault="00D66351" w:rsidP="00D66351">
      <w:pPr>
        <w:rPr>
          <w:bCs/>
        </w:rPr>
      </w:pPr>
      <w:r>
        <w:rPr>
          <w:rFonts w:ascii="Times New Roman" w:hAnsi="Times New Roman" w:cs="Times New Roman"/>
          <w:b/>
          <w:bCs/>
        </w:rPr>
        <w:br w:type="page"/>
      </w:r>
    </w:p>
    <w:p w:rsidR="000F5490" w:rsidRPr="00B460EE" w:rsidRDefault="000F5490" w:rsidP="00745968">
      <w:pPr>
        <w:jc w:val="center"/>
        <w:rPr>
          <w:b/>
        </w:rPr>
      </w:pPr>
      <w:r w:rsidRPr="00B460EE">
        <w:rPr>
          <w:b/>
        </w:rPr>
        <w:t>TABLE OF CONTENTS</w:t>
      </w:r>
    </w:p>
    <w:p w:rsidR="000F5490" w:rsidRPr="00B460EE" w:rsidRDefault="000F5490" w:rsidP="001F66B1">
      <w:pPr>
        <w:suppressAutoHyphens/>
        <w:jc w:val="both"/>
        <w:rPr>
          <w:bCs/>
        </w:rPr>
      </w:pPr>
    </w:p>
    <w:p w:rsidR="000F5490" w:rsidRPr="00BA49AE" w:rsidRDefault="00F448FF" w:rsidP="00D66351">
      <w:pPr>
        <w:pStyle w:val="TOC1"/>
        <w:spacing w:before="360" w:after="360"/>
      </w:pPr>
      <w:r w:rsidRPr="00BA49AE">
        <w:t>1.</w:t>
      </w:r>
      <w:r w:rsidRPr="00BA49AE">
        <w:tab/>
        <w:t xml:space="preserve">LEGAL </w:t>
      </w:r>
      <w:r w:rsidR="00BA49AE">
        <w:t>REFERENCES………………………………………</w:t>
      </w:r>
      <w:r w:rsidR="00D66351">
        <w:t>4</w:t>
      </w:r>
    </w:p>
    <w:p w:rsidR="000F5490" w:rsidRPr="00EF2F61" w:rsidRDefault="00F448FF" w:rsidP="00D66351">
      <w:pPr>
        <w:pStyle w:val="TOC1"/>
        <w:spacing w:before="360" w:after="360"/>
      </w:pPr>
      <w:r w:rsidRPr="00F448FF">
        <w:t>2</w:t>
      </w:r>
      <w:r w:rsidR="00BA49AE">
        <w:t xml:space="preserve">. </w:t>
      </w:r>
      <w:r w:rsidR="00BA49AE">
        <w:tab/>
        <w:t>OVERVIEW ……………………………………………………</w:t>
      </w:r>
      <w:r w:rsidR="00D66351">
        <w:t>4</w:t>
      </w:r>
    </w:p>
    <w:p w:rsidR="000F5490" w:rsidRPr="00EF2F61" w:rsidRDefault="00F448FF" w:rsidP="00D66351">
      <w:pPr>
        <w:spacing w:before="360" w:after="360"/>
        <w:rPr>
          <w:b/>
          <w:bCs/>
        </w:rPr>
      </w:pPr>
      <w:r>
        <w:rPr>
          <w:b/>
          <w:bCs/>
        </w:rPr>
        <w:t xml:space="preserve">3. </w:t>
      </w:r>
      <w:r>
        <w:rPr>
          <w:b/>
          <w:bCs/>
        </w:rPr>
        <w:tab/>
        <w:t>DEFINITIONS………………………………………………….</w:t>
      </w:r>
      <w:r w:rsidR="00D66351">
        <w:rPr>
          <w:b/>
          <w:bCs/>
        </w:rPr>
        <w:t>5</w:t>
      </w:r>
    </w:p>
    <w:p w:rsidR="000F5490" w:rsidRPr="00EF2F61" w:rsidRDefault="00F448FF" w:rsidP="00D66351">
      <w:pPr>
        <w:spacing w:before="360" w:after="360"/>
        <w:rPr>
          <w:b/>
          <w:bCs/>
        </w:rPr>
      </w:pPr>
      <w:r>
        <w:rPr>
          <w:b/>
          <w:bCs/>
        </w:rPr>
        <w:t xml:space="preserve">4. </w:t>
      </w:r>
      <w:r>
        <w:rPr>
          <w:b/>
          <w:bCs/>
        </w:rPr>
        <w:tab/>
        <w:t>PURPOSE……………………………………………………...</w:t>
      </w:r>
      <w:r w:rsidR="00D66351">
        <w:rPr>
          <w:b/>
          <w:bCs/>
        </w:rPr>
        <w:t>5</w:t>
      </w:r>
    </w:p>
    <w:p w:rsidR="000F5490" w:rsidRPr="00EF2F61" w:rsidRDefault="00F448FF" w:rsidP="00971BF0">
      <w:pPr>
        <w:spacing w:before="360" w:after="360"/>
        <w:rPr>
          <w:b/>
          <w:bCs/>
        </w:rPr>
      </w:pPr>
      <w:r>
        <w:rPr>
          <w:b/>
          <w:bCs/>
        </w:rPr>
        <w:t xml:space="preserve">5. </w:t>
      </w:r>
      <w:r>
        <w:rPr>
          <w:b/>
          <w:bCs/>
        </w:rPr>
        <w:tab/>
        <w:t>SCOPE………………………………………………………….</w:t>
      </w:r>
      <w:r w:rsidR="00971BF0">
        <w:rPr>
          <w:b/>
          <w:bCs/>
        </w:rPr>
        <w:t>6</w:t>
      </w:r>
    </w:p>
    <w:p w:rsidR="000F5490" w:rsidRPr="00EF2F61" w:rsidRDefault="00F448FF" w:rsidP="00971BF0">
      <w:pPr>
        <w:spacing w:before="360" w:after="360"/>
        <w:rPr>
          <w:b/>
          <w:bCs/>
        </w:rPr>
      </w:pPr>
      <w:r>
        <w:rPr>
          <w:b/>
          <w:bCs/>
        </w:rPr>
        <w:t xml:space="preserve">6. </w:t>
      </w:r>
      <w:r>
        <w:rPr>
          <w:b/>
          <w:bCs/>
        </w:rPr>
        <w:tab/>
      </w:r>
      <w:r w:rsidRPr="00F448FF">
        <w:rPr>
          <w:b/>
          <w:bCs/>
        </w:rPr>
        <w:t>SPECIFIC SCOPE FOR EX ANTE MARKET REVIEWS</w:t>
      </w:r>
      <w:r>
        <w:rPr>
          <w:b/>
          <w:bCs/>
        </w:rPr>
        <w:t>....</w:t>
      </w:r>
      <w:r w:rsidR="00971BF0">
        <w:rPr>
          <w:b/>
          <w:bCs/>
        </w:rPr>
        <w:t>7</w:t>
      </w:r>
    </w:p>
    <w:p w:rsidR="00EF2F61" w:rsidRPr="00EF2F61" w:rsidRDefault="00F448FF" w:rsidP="00971BF0">
      <w:pPr>
        <w:spacing w:before="360" w:after="360"/>
        <w:rPr>
          <w:b/>
          <w:bCs/>
        </w:rPr>
      </w:pPr>
      <w:r w:rsidRPr="00F448FF">
        <w:rPr>
          <w:b/>
          <w:bCs/>
        </w:rPr>
        <w:t xml:space="preserve">7. </w:t>
      </w:r>
      <w:r w:rsidRPr="00F448FF">
        <w:rPr>
          <w:b/>
          <w:bCs/>
        </w:rPr>
        <w:tab/>
        <w:t>SPECIFIC SCOPE FOR EX POST INVESTIGATIONS......</w:t>
      </w:r>
      <w:r w:rsidR="00971BF0">
        <w:rPr>
          <w:b/>
          <w:bCs/>
        </w:rPr>
        <w:t>9</w:t>
      </w:r>
    </w:p>
    <w:p w:rsidR="000F5490" w:rsidRDefault="00EF2F61" w:rsidP="00971BF0">
      <w:pPr>
        <w:spacing w:before="360" w:after="360"/>
        <w:rPr>
          <w:b/>
          <w:bCs/>
        </w:rPr>
      </w:pPr>
      <w:r>
        <w:rPr>
          <w:b/>
          <w:bCs/>
        </w:rPr>
        <w:t>8</w:t>
      </w:r>
      <w:r w:rsidR="00AD14C8" w:rsidRPr="00EF2F61">
        <w:rPr>
          <w:b/>
          <w:bCs/>
        </w:rPr>
        <w:t xml:space="preserve">. </w:t>
      </w:r>
      <w:r w:rsidR="00AD14C8" w:rsidRPr="00EF2F61">
        <w:rPr>
          <w:b/>
          <w:bCs/>
        </w:rPr>
        <w:tab/>
        <w:t xml:space="preserve">APPROACH TO </w:t>
      </w:r>
      <w:r w:rsidR="00F448FF" w:rsidRPr="00F448FF">
        <w:rPr>
          <w:b/>
          <w:bCs/>
        </w:rPr>
        <w:t>MARKET DEFINITION.............</w:t>
      </w:r>
      <w:r w:rsidRPr="00EF2F61">
        <w:rPr>
          <w:b/>
          <w:bCs/>
        </w:rPr>
        <w:t>………...</w:t>
      </w:r>
      <w:r>
        <w:rPr>
          <w:b/>
          <w:bCs/>
        </w:rPr>
        <w:t>.</w:t>
      </w:r>
      <w:r w:rsidR="00971BF0">
        <w:rPr>
          <w:b/>
          <w:bCs/>
        </w:rPr>
        <w:t>11</w:t>
      </w:r>
    </w:p>
    <w:p w:rsidR="00EF2F61" w:rsidRDefault="00EF2F61" w:rsidP="00971BF0">
      <w:pPr>
        <w:spacing w:before="360" w:after="360"/>
        <w:rPr>
          <w:b/>
          <w:bCs/>
        </w:rPr>
      </w:pPr>
      <w:r>
        <w:rPr>
          <w:b/>
          <w:bCs/>
        </w:rPr>
        <w:t>9.</w:t>
      </w:r>
      <w:r>
        <w:rPr>
          <w:b/>
          <w:bCs/>
        </w:rPr>
        <w:tab/>
        <w:t>APPROACH TO COMPETITION ASSESSMENTS...........</w:t>
      </w:r>
      <w:r w:rsidR="00971BF0">
        <w:rPr>
          <w:b/>
          <w:bCs/>
        </w:rPr>
        <w:t>20</w:t>
      </w:r>
    </w:p>
    <w:p w:rsidR="00EF2F61" w:rsidRPr="00B460EE" w:rsidRDefault="00EF2F61" w:rsidP="0048635D">
      <w:pPr>
        <w:spacing w:before="360" w:after="360"/>
        <w:rPr>
          <w:b/>
          <w:bCs/>
        </w:rPr>
      </w:pPr>
    </w:p>
    <w:p w:rsidR="000F5490" w:rsidRPr="00B460EE" w:rsidRDefault="000F5490" w:rsidP="00745968">
      <w:pPr>
        <w:rPr>
          <w:b/>
          <w:bCs/>
        </w:rPr>
      </w:pPr>
    </w:p>
    <w:p w:rsidR="000F5490" w:rsidRPr="00B460EE" w:rsidRDefault="000F5490" w:rsidP="00745968"/>
    <w:p w:rsidR="000F5490" w:rsidRPr="00B460EE" w:rsidRDefault="000F5490" w:rsidP="00E76CF4">
      <w:pPr>
        <w:suppressAutoHyphens/>
        <w:ind w:left="720"/>
        <w:jc w:val="both"/>
        <w:rPr>
          <w:b/>
        </w:rPr>
      </w:pPr>
    </w:p>
    <w:p w:rsidR="000F5490" w:rsidRPr="00B460EE" w:rsidRDefault="000F5490" w:rsidP="00E76CF4">
      <w:pPr>
        <w:suppressAutoHyphens/>
        <w:ind w:left="720"/>
        <w:jc w:val="both"/>
        <w:rPr>
          <w:b/>
        </w:rPr>
      </w:pPr>
    </w:p>
    <w:p w:rsidR="000F5490" w:rsidRPr="00B460EE" w:rsidRDefault="000F5490" w:rsidP="00E76CF4">
      <w:pPr>
        <w:suppressAutoHyphens/>
        <w:ind w:left="720"/>
        <w:jc w:val="both"/>
        <w:rPr>
          <w:b/>
        </w:rPr>
      </w:pPr>
    </w:p>
    <w:p w:rsidR="007E3368" w:rsidRDefault="000F5490" w:rsidP="00526E7F">
      <w:pPr>
        <w:keepNext/>
        <w:widowControl w:val="0"/>
        <w:numPr>
          <w:ilvl w:val="0"/>
          <w:numId w:val="40"/>
        </w:numPr>
        <w:suppressAutoHyphens/>
        <w:spacing w:afterLines="100" w:line="260" w:lineRule="atLeast"/>
        <w:ind w:left="0" w:firstLine="0"/>
        <w:jc w:val="both"/>
        <w:outlineLvl w:val="2"/>
        <w:rPr>
          <w:b/>
        </w:rPr>
      </w:pPr>
      <w:r w:rsidRPr="00B460EE">
        <w:rPr>
          <w:rFonts w:ascii="Times New Roman" w:hAnsi="Times New Roman" w:cs="Times New Roman"/>
          <w:b/>
          <w:bCs/>
        </w:rPr>
        <w:br w:type="page"/>
      </w:r>
      <w:bookmarkStart w:id="0" w:name="_Toc260737124"/>
      <w:bookmarkStart w:id="1" w:name="_Toc260738228"/>
      <w:bookmarkStart w:id="2" w:name="_Toc260738729"/>
      <w:bookmarkStart w:id="3" w:name="_Toc261602970"/>
      <w:r w:rsidRPr="00B460EE">
        <w:rPr>
          <w:b/>
        </w:rPr>
        <w:lastRenderedPageBreak/>
        <w:t>Legal reference</w:t>
      </w:r>
    </w:p>
    <w:p w:rsidR="000F5490" w:rsidRPr="00B460EE" w:rsidRDefault="000F5490" w:rsidP="00526E7F">
      <w:pPr>
        <w:suppressAutoHyphens/>
        <w:ind w:left="720"/>
        <w:jc w:val="both"/>
        <w:rPr>
          <w:b/>
        </w:rPr>
      </w:pPr>
    </w:p>
    <w:p w:rsidR="000F5490" w:rsidRPr="00B460EE" w:rsidRDefault="000F5490" w:rsidP="00BA4A65">
      <w:pPr>
        <w:pStyle w:val="Heading2"/>
        <w:numPr>
          <w:ilvl w:val="1"/>
          <w:numId w:val="33"/>
        </w:numPr>
        <w:spacing w:after="240"/>
        <w:jc w:val="both"/>
        <w:rPr>
          <w:lang w:val="en-GB"/>
        </w:rPr>
      </w:pPr>
      <w:proofErr w:type="gramStart"/>
      <w:r w:rsidRPr="00B460EE">
        <w:rPr>
          <w:lang w:val="en-GB"/>
        </w:rPr>
        <w:t xml:space="preserve">Article 12 of </w:t>
      </w:r>
      <w:r w:rsidRPr="00B460EE">
        <w:rPr>
          <w:i/>
          <w:iCs/>
          <w:lang w:val="en-GB"/>
        </w:rPr>
        <w:t>Federal Law by Decree No.</w:t>
      </w:r>
      <w:proofErr w:type="gramEnd"/>
      <w:r w:rsidRPr="00B460EE">
        <w:rPr>
          <w:i/>
          <w:iCs/>
          <w:lang w:val="en-GB"/>
        </w:rPr>
        <w:t xml:space="preserve"> (3) </w:t>
      </w:r>
      <w:proofErr w:type="gramStart"/>
      <w:r w:rsidRPr="00B460EE">
        <w:rPr>
          <w:i/>
          <w:iCs/>
          <w:lang w:val="en-GB"/>
        </w:rPr>
        <w:t>of</w:t>
      </w:r>
      <w:proofErr w:type="gramEnd"/>
      <w:r w:rsidRPr="00B460EE">
        <w:rPr>
          <w:i/>
          <w:iCs/>
          <w:lang w:val="en-GB"/>
        </w:rPr>
        <w:t xml:space="preserve"> 2003</w:t>
      </w:r>
      <w:r w:rsidRPr="00B460EE">
        <w:rPr>
          <w:lang w:val="en-GB"/>
        </w:rPr>
        <w:t>, as amended (the “</w:t>
      </w:r>
      <w:r w:rsidRPr="00B460EE">
        <w:rPr>
          <w:b/>
          <w:bCs/>
          <w:lang w:val="en-GB"/>
        </w:rPr>
        <w:t>Telecommunications Law</w:t>
      </w:r>
      <w:r w:rsidRPr="00B460EE">
        <w:rPr>
          <w:lang w:val="en-GB"/>
        </w:rPr>
        <w:t>”) establishes the Telecommunications Regulatory Authority (“</w:t>
      </w:r>
      <w:r w:rsidRPr="00B460EE">
        <w:rPr>
          <w:b/>
          <w:bCs/>
          <w:lang w:val="en-GB"/>
        </w:rPr>
        <w:t>TRA</w:t>
      </w:r>
      <w:r w:rsidRPr="00B460EE">
        <w:rPr>
          <w:lang w:val="en-GB"/>
        </w:rPr>
        <w:t>”) as the competent body to oversee the telecommunication sector in the UAE.</w:t>
      </w:r>
    </w:p>
    <w:p w:rsidR="000F5490" w:rsidRPr="00B460EE" w:rsidRDefault="000F5490" w:rsidP="00BA4A65">
      <w:pPr>
        <w:pStyle w:val="Heading2"/>
        <w:numPr>
          <w:ilvl w:val="1"/>
          <w:numId w:val="33"/>
        </w:numPr>
        <w:spacing w:after="240"/>
        <w:jc w:val="both"/>
        <w:rPr>
          <w:lang w:val="en-GB"/>
        </w:rPr>
      </w:pPr>
      <w:proofErr w:type="gramStart"/>
      <w:r w:rsidRPr="00B460EE">
        <w:rPr>
          <w:lang w:val="en-GB"/>
        </w:rPr>
        <w:t xml:space="preserve">Additionally, Article 14(4) of </w:t>
      </w:r>
      <w:r w:rsidRPr="00B460EE">
        <w:rPr>
          <w:i/>
          <w:iCs/>
          <w:lang w:val="en-GB"/>
        </w:rPr>
        <w:t>Federal Law by Decree No.</w:t>
      </w:r>
      <w:proofErr w:type="gramEnd"/>
      <w:r w:rsidRPr="00B460EE">
        <w:rPr>
          <w:i/>
          <w:iCs/>
          <w:lang w:val="en-GB"/>
        </w:rPr>
        <w:t xml:space="preserve"> (5) </w:t>
      </w:r>
      <w:proofErr w:type="gramStart"/>
      <w:r w:rsidRPr="00B460EE">
        <w:rPr>
          <w:i/>
          <w:iCs/>
          <w:lang w:val="en-GB"/>
        </w:rPr>
        <w:t>of</w:t>
      </w:r>
      <w:proofErr w:type="gramEnd"/>
      <w:r w:rsidRPr="00B460EE">
        <w:rPr>
          <w:i/>
          <w:iCs/>
          <w:lang w:val="en-GB"/>
        </w:rPr>
        <w:t xml:space="preserve"> 2008</w:t>
      </w:r>
      <w:r w:rsidRPr="00B460EE">
        <w:rPr>
          <w:lang w:val="en-GB"/>
        </w:rPr>
        <w:t xml:space="preserve">, amending the provisions of </w:t>
      </w:r>
      <w:r w:rsidRPr="00B460EE">
        <w:rPr>
          <w:i/>
          <w:iCs/>
          <w:lang w:val="en-GB"/>
        </w:rPr>
        <w:t xml:space="preserve">Federal Law by Decree No. (3) </w:t>
      </w:r>
      <w:proofErr w:type="gramStart"/>
      <w:r w:rsidRPr="00B460EE">
        <w:rPr>
          <w:i/>
          <w:iCs/>
          <w:lang w:val="en-GB"/>
        </w:rPr>
        <w:t>of</w:t>
      </w:r>
      <w:proofErr w:type="gramEnd"/>
      <w:r w:rsidRPr="00B460EE">
        <w:rPr>
          <w:i/>
          <w:iCs/>
          <w:lang w:val="en-GB"/>
        </w:rPr>
        <w:t xml:space="preserve"> 2003</w:t>
      </w:r>
      <w:r w:rsidRPr="00B460EE">
        <w:rPr>
          <w:lang w:val="en-GB"/>
        </w:rPr>
        <w:t>, specifically grants to the TRA the power to issue regulations, instructions, resolutions and procedures, “regulating and ensuring competition in the telecommunications sector...”.</w:t>
      </w:r>
    </w:p>
    <w:p w:rsidR="000F5490" w:rsidRPr="00B460EE" w:rsidRDefault="000F5490" w:rsidP="00E33867"/>
    <w:p w:rsidR="007E3368" w:rsidRDefault="000F5490" w:rsidP="00526E7F">
      <w:pPr>
        <w:keepNext/>
        <w:widowControl w:val="0"/>
        <w:numPr>
          <w:ilvl w:val="0"/>
          <w:numId w:val="33"/>
        </w:numPr>
        <w:suppressAutoHyphens/>
        <w:spacing w:afterLines="100" w:line="260" w:lineRule="atLeast"/>
        <w:ind w:left="1440" w:hanging="1440"/>
        <w:jc w:val="both"/>
        <w:outlineLvl w:val="2"/>
        <w:rPr>
          <w:b/>
        </w:rPr>
      </w:pPr>
      <w:r w:rsidRPr="00B460EE">
        <w:rPr>
          <w:b/>
        </w:rPr>
        <w:t>Overview</w:t>
      </w:r>
    </w:p>
    <w:bookmarkEnd w:id="0"/>
    <w:bookmarkEnd w:id="1"/>
    <w:bookmarkEnd w:id="2"/>
    <w:bookmarkEnd w:id="3"/>
    <w:p w:rsidR="000F5490" w:rsidRPr="00B460EE" w:rsidRDefault="000F5490" w:rsidP="00526E7F">
      <w:pPr>
        <w:suppressAutoHyphens/>
        <w:ind w:left="720"/>
        <w:jc w:val="both"/>
        <w:rPr>
          <w:b/>
        </w:rPr>
      </w:pPr>
    </w:p>
    <w:p w:rsidR="000F5490" w:rsidRPr="00B460EE" w:rsidRDefault="000F5490" w:rsidP="00BA49AE">
      <w:pPr>
        <w:pStyle w:val="Heading2"/>
        <w:numPr>
          <w:ilvl w:val="1"/>
          <w:numId w:val="33"/>
        </w:numPr>
        <w:spacing w:after="240"/>
        <w:jc w:val="both"/>
        <w:rPr>
          <w:lang w:val="en-GB"/>
        </w:rPr>
      </w:pPr>
      <w:r w:rsidRPr="00B460EE">
        <w:rPr>
          <w:lang w:val="en-GB"/>
        </w:rPr>
        <w:t>On 30 December 2009,</w:t>
      </w:r>
      <w:r>
        <w:rPr>
          <w:lang w:val="en-GB"/>
        </w:rPr>
        <w:t xml:space="preserve"> and as amended</w:t>
      </w:r>
      <w:r w:rsidR="008D759B">
        <w:rPr>
          <w:lang w:val="en-GB"/>
        </w:rPr>
        <w:t xml:space="preserve"> on</w:t>
      </w:r>
      <w:r>
        <w:rPr>
          <w:lang w:val="en-GB"/>
        </w:rPr>
        <w:t xml:space="preserve"> </w:t>
      </w:r>
      <w:r w:rsidR="00BA49AE">
        <w:rPr>
          <w:lang w:val="en-GB"/>
        </w:rPr>
        <w:t>30</w:t>
      </w:r>
      <w:r>
        <w:rPr>
          <w:lang w:val="en-GB"/>
        </w:rPr>
        <w:t xml:space="preserve"> September 2010</w:t>
      </w:r>
      <w:r w:rsidR="008D759B">
        <w:rPr>
          <w:rStyle w:val="FootnoteReference"/>
          <w:lang w:val="en-GB"/>
        </w:rPr>
        <w:footnoteReference w:id="2"/>
      </w:r>
      <w:r>
        <w:rPr>
          <w:lang w:val="en-GB"/>
        </w:rPr>
        <w:t>,</w:t>
      </w:r>
      <w:r w:rsidRPr="00B460EE">
        <w:rPr>
          <w:lang w:val="en-GB"/>
        </w:rPr>
        <w:t xml:space="preserve"> the Telecommunications Regulatory Authority (TRA) issued its competition framework for the promotion and protection of competition in the United Arab Emirates (UAE) telecommunication sector through both </w:t>
      </w:r>
      <w:r w:rsidR="008D759B" w:rsidRPr="008D759B">
        <w:rPr>
          <w:i/>
          <w:lang w:val="en-GB"/>
        </w:rPr>
        <w:t>ex ante</w:t>
      </w:r>
      <w:r w:rsidRPr="00B460EE">
        <w:rPr>
          <w:lang w:val="en-GB"/>
        </w:rPr>
        <w:t xml:space="preserve"> and </w:t>
      </w:r>
      <w:r w:rsidR="008D759B" w:rsidRPr="008D759B">
        <w:rPr>
          <w:i/>
          <w:lang w:val="en-GB"/>
        </w:rPr>
        <w:t>ex post</w:t>
      </w:r>
      <w:r w:rsidRPr="00B460EE">
        <w:rPr>
          <w:lang w:val="en-GB"/>
        </w:rPr>
        <w:t xml:space="preserve"> intervention. The framework consisted of three regulatory instruments: </w:t>
      </w:r>
    </w:p>
    <w:p w:rsidR="000F5490" w:rsidRPr="00B460EE" w:rsidRDefault="000F5490" w:rsidP="00974630">
      <w:pPr>
        <w:pStyle w:val="ListParagraph"/>
        <w:numPr>
          <w:ilvl w:val="2"/>
          <w:numId w:val="24"/>
        </w:numPr>
        <w:tabs>
          <w:tab w:val="clear" w:pos="1680"/>
          <w:tab w:val="num" w:pos="2160"/>
        </w:tabs>
        <w:suppressAutoHyphens/>
        <w:spacing w:after="240"/>
        <w:ind w:left="2160" w:hanging="720"/>
        <w:contextualSpacing w:val="0"/>
        <w:jc w:val="both"/>
      </w:pPr>
      <w:r w:rsidRPr="00B460EE">
        <w:t>Competition Safeguards Regulatory Policy, Version 1.</w:t>
      </w:r>
      <w:r>
        <w:t>1</w:t>
      </w:r>
      <w:r w:rsidRPr="00B460EE">
        <w:t xml:space="preserve"> (</w:t>
      </w:r>
      <w:r>
        <w:t>“</w:t>
      </w:r>
      <w:r w:rsidR="00F448FF" w:rsidRPr="00F448FF">
        <w:rPr>
          <w:b/>
          <w:iCs/>
        </w:rPr>
        <w:t>Competition Safeguards</w:t>
      </w:r>
      <w:r>
        <w:rPr>
          <w:i/>
          <w:iCs/>
        </w:rPr>
        <w:t>”</w:t>
      </w:r>
      <w:r w:rsidRPr="00B460EE">
        <w:t>);</w:t>
      </w:r>
    </w:p>
    <w:p w:rsidR="000F5490" w:rsidRDefault="0035762B" w:rsidP="000F5490">
      <w:pPr>
        <w:pStyle w:val="ListParagraph"/>
        <w:numPr>
          <w:ilvl w:val="2"/>
          <w:numId w:val="24"/>
        </w:numPr>
        <w:tabs>
          <w:tab w:val="clear" w:pos="1680"/>
          <w:tab w:val="num" w:pos="2160"/>
        </w:tabs>
        <w:suppressAutoHyphens/>
        <w:spacing w:after="240"/>
        <w:ind w:left="2160" w:hanging="720"/>
        <w:contextualSpacing w:val="0"/>
        <w:jc w:val="both"/>
      </w:pPr>
      <w:r w:rsidRPr="0035762B">
        <w:t>Ex ante Competition Safeguards</w:t>
      </w:r>
      <w:r w:rsidR="000F5490" w:rsidRPr="00B460EE">
        <w:t xml:space="preserve"> Regulatory Policy, Version 1.</w:t>
      </w:r>
      <w:r w:rsidR="000F5490">
        <w:t>1</w:t>
      </w:r>
      <w:r w:rsidR="000F5490" w:rsidRPr="00B460EE">
        <w:t xml:space="preserve"> (</w:t>
      </w:r>
      <w:r w:rsidR="000F5490">
        <w:t>“</w:t>
      </w:r>
      <w:r w:rsidR="00F448FF" w:rsidRPr="00F448FF">
        <w:rPr>
          <w:b/>
          <w:iCs/>
        </w:rPr>
        <w:t>Ex ante Competition Safeguards</w:t>
      </w:r>
      <w:r w:rsidR="000F5490">
        <w:rPr>
          <w:i/>
          <w:iCs/>
        </w:rPr>
        <w:t>”</w:t>
      </w:r>
      <w:r w:rsidR="000F5490" w:rsidRPr="00B460EE">
        <w:t>); and</w:t>
      </w:r>
    </w:p>
    <w:p w:rsidR="000F5490" w:rsidRDefault="0035762B" w:rsidP="000F5490">
      <w:pPr>
        <w:pStyle w:val="ListParagraph"/>
        <w:numPr>
          <w:ilvl w:val="2"/>
          <w:numId w:val="24"/>
        </w:numPr>
        <w:tabs>
          <w:tab w:val="clear" w:pos="1680"/>
          <w:tab w:val="num" w:pos="2160"/>
        </w:tabs>
        <w:suppressAutoHyphens/>
        <w:spacing w:after="240"/>
        <w:ind w:left="2160" w:hanging="720"/>
        <w:contextualSpacing w:val="0"/>
        <w:jc w:val="both"/>
      </w:pPr>
      <w:r w:rsidRPr="0035762B">
        <w:t>Ex post Competition Safeguards</w:t>
      </w:r>
      <w:r w:rsidR="000F5490" w:rsidRPr="00B460EE">
        <w:t xml:space="preserve"> Regulatory Procedures, Version 1.</w:t>
      </w:r>
      <w:r w:rsidR="000F5490">
        <w:t>1</w:t>
      </w:r>
      <w:r w:rsidR="000F5490" w:rsidRPr="00B460EE">
        <w:t xml:space="preserve"> (</w:t>
      </w:r>
      <w:r w:rsidR="000F5490">
        <w:t>“</w:t>
      </w:r>
      <w:r w:rsidR="00F448FF" w:rsidRPr="00F448FF">
        <w:rPr>
          <w:b/>
          <w:iCs/>
        </w:rPr>
        <w:t>Ex post Competition Safeguards</w:t>
      </w:r>
      <w:r w:rsidR="000F5490">
        <w:rPr>
          <w:i/>
          <w:iCs/>
        </w:rPr>
        <w:t>”</w:t>
      </w:r>
      <w:r w:rsidR="000F5490" w:rsidRPr="00B460EE">
        <w:t>).</w:t>
      </w:r>
    </w:p>
    <w:p w:rsidR="000F5490" w:rsidRPr="00B460EE" w:rsidRDefault="000F5490" w:rsidP="00A573FA">
      <w:pPr>
        <w:pStyle w:val="Heading2"/>
        <w:numPr>
          <w:ilvl w:val="1"/>
          <w:numId w:val="33"/>
        </w:numPr>
        <w:spacing w:after="240"/>
        <w:jc w:val="both"/>
        <w:rPr>
          <w:lang w:val="en-GB"/>
        </w:rPr>
      </w:pPr>
      <w:r w:rsidRPr="00B460EE">
        <w:rPr>
          <w:lang w:val="en-GB"/>
        </w:rPr>
        <w:t xml:space="preserve">The Competition Safeguards set out the general principles for market definition and gave examples of both anti-competitive agreements and misuses of Market Power. It also set out conditions for exemptions that may apply to these anti-competitive agreements and misuses of Market Power.  </w:t>
      </w:r>
    </w:p>
    <w:p w:rsidR="000F5490" w:rsidRPr="00B460EE" w:rsidRDefault="000F5490" w:rsidP="00A573FA">
      <w:pPr>
        <w:pStyle w:val="Heading2"/>
        <w:numPr>
          <w:ilvl w:val="1"/>
          <w:numId w:val="33"/>
        </w:numPr>
        <w:spacing w:after="240"/>
        <w:jc w:val="both"/>
        <w:rPr>
          <w:lang w:val="en-GB"/>
        </w:rPr>
      </w:pPr>
      <w:r w:rsidRPr="00B460EE">
        <w:rPr>
          <w:lang w:val="en-GB"/>
        </w:rPr>
        <w:t xml:space="preserve">The </w:t>
      </w:r>
      <w:r w:rsidR="0035762B" w:rsidRPr="0035762B">
        <w:rPr>
          <w:lang w:val="en-GB"/>
        </w:rPr>
        <w:t>Ex ante Competition Safeguards</w:t>
      </w:r>
      <w:r w:rsidRPr="00B460EE">
        <w:rPr>
          <w:lang w:val="en-GB"/>
        </w:rPr>
        <w:t xml:space="preserve"> set out the basis for introducing further </w:t>
      </w:r>
      <w:r w:rsidR="008D759B" w:rsidRPr="008D759B">
        <w:rPr>
          <w:i/>
          <w:lang w:val="en-GB"/>
        </w:rPr>
        <w:t>ex ante</w:t>
      </w:r>
      <w:r w:rsidRPr="00B460EE">
        <w:rPr>
          <w:lang w:val="en-GB"/>
        </w:rPr>
        <w:t xml:space="preserve"> measures, or adapting or removing existing </w:t>
      </w:r>
      <w:r w:rsidR="008D759B" w:rsidRPr="008D759B">
        <w:rPr>
          <w:i/>
          <w:lang w:val="en-GB"/>
        </w:rPr>
        <w:t>ex ante</w:t>
      </w:r>
      <w:r w:rsidRPr="00B460EE">
        <w:rPr>
          <w:lang w:val="en-GB"/>
        </w:rPr>
        <w:t xml:space="preserve"> measures contained in the Regulatory Framework, as the TRA determines that such a need arises.  </w:t>
      </w:r>
    </w:p>
    <w:p w:rsidR="000F5490" w:rsidRDefault="000F5490" w:rsidP="00A573FA">
      <w:pPr>
        <w:pStyle w:val="Heading2"/>
        <w:numPr>
          <w:ilvl w:val="1"/>
          <w:numId w:val="33"/>
        </w:numPr>
        <w:spacing w:after="240"/>
        <w:jc w:val="both"/>
        <w:rPr>
          <w:lang w:val="en-GB"/>
        </w:rPr>
      </w:pPr>
      <w:r w:rsidRPr="00B460EE">
        <w:rPr>
          <w:lang w:val="en-GB"/>
        </w:rPr>
        <w:lastRenderedPageBreak/>
        <w:t xml:space="preserve">The </w:t>
      </w:r>
      <w:r w:rsidR="0035762B" w:rsidRPr="0035762B">
        <w:rPr>
          <w:lang w:val="en-GB"/>
        </w:rPr>
        <w:t>Ex post Competition Safeguards</w:t>
      </w:r>
      <w:r w:rsidRPr="00B460EE">
        <w:rPr>
          <w:lang w:val="en-GB"/>
        </w:rPr>
        <w:t xml:space="preserve"> set out the processes and procedures to enable the TRA to address, on a case-by-case basis, specific allegations of anti-competitive behaviour.  </w:t>
      </w:r>
    </w:p>
    <w:p w:rsidR="00BA49AE" w:rsidRPr="00BA49AE" w:rsidRDefault="00BA49AE" w:rsidP="00BA49AE"/>
    <w:p w:rsidR="007E3368" w:rsidRDefault="000F5490" w:rsidP="00526E7F">
      <w:pPr>
        <w:keepNext/>
        <w:widowControl w:val="0"/>
        <w:numPr>
          <w:ilvl w:val="0"/>
          <w:numId w:val="33"/>
        </w:numPr>
        <w:suppressAutoHyphens/>
        <w:spacing w:afterLines="100" w:line="260" w:lineRule="atLeast"/>
        <w:jc w:val="both"/>
        <w:outlineLvl w:val="2"/>
        <w:rPr>
          <w:b/>
        </w:rPr>
      </w:pPr>
      <w:bookmarkStart w:id="4" w:name="_Ref260391395"/>
      <w:bookmarkStart w:id="5" w:name="_Toc260737126"/>
      <w:bookmarkStart w:id="6" w:name="_Toc260738230"/>
      <w:bookmarkStart w:id="7" w:name="_Toc260738731"/>
      <w:bookmarkStart w:id="8" w:name="_Toc261602972"/>
      <w:r w:rsidRPr="00B460EE">
        <w:rPr>
          <w:b/>
        </w:rPr>
        <w:t>Definitions</w:t>
      </w:r>
    </w:p>
    <w:p w:rsidR="000F5490" w:rsidRPr="00B460EE" w:rsidRDefault="000F5490" w:rsidP="00526E7F">
      <w:pPr>
        <w:suppressAutoHyphens/>
        <w:ind w:left="720"/>
        <w:jc w:val="both"/>
        <w:rPr>
          <w:b/>
        </w:rPr>
      </w:pPr>
    </w:p>
    <w:p w:rsidR="000F5490" w:rsidRPr="00B460EE" w:rsidRDefault="002A509E" w:rsidP="00BC71A4">
      <w:pPr>
        <w:pStyle w:val="Heading2"/>
        <w:numPr>
          <w:ilvl w:val="1"/>
          <w:numId w:val="33"/>
        </w:numPr>
        <w:spacing w:after="240"/>
        <w:jc w:val="both"/>
        <w:rPr>
          <w:b/>
          <w:lang w:val="en-GB"/>
        </w:rPr>
      </w:pPr>
      <w:r>
        <w:rPr>
          <w:lang w:val="en-GB"/>
        </w:rPr>
        <w:t>The terms, words and phrases used in these Guidelines shall have the same meaning as is ascribed to them in the Competition Safeguards</w:t>
      </w:r>
      <w:r w:rsidR="00405144">
        <w:rPr>
          <w:lang w:val="en-GB"/>
        </w:rPr>
        <w:t xml:space="preserve"> unless these Guidelines expressly provides for otherwise, or the context in which those terms, words and phrases are used in these Guidelines requires otherwise.</w:t>
      </w:r>
    </w:p>
    <w:p w:rsidR="000F5490" w:rsidRPr="00B460EE" w:rsidRDefault="000F5490" w:rsidP="00E33867"/>
    <w:p w:rsidR="007E3368" w:rsidRDefault="000F5490">
      <w:pPr>
        <w:keepNext/>
        <w:widowControl w:val="0"/>
        <w:numPr>
          <w:ilvl w:val="0"/>
          <w:numId w:val="33"/>
        </w:numPr>
        <w:suppressAutoHyphens/>
        <w:spacing w:afterLines="100" w:line="260" w:lineRule="atLeast"/>
        <w:ind w:left="1418" w:hanging="1418"/>
        <w:jc w:val="both"/>
        <w:outlineLvl w:val="2"/>
        <w:rPr>
          <w:b/>
        </w:rPr>
      </w:pPr>
      <w:r w:rsidRPr="00B460EE">
        <w:rPr>
          <w:b/>
        </w:rPr>
        <w:t xml:space="preserve">Purpose </w:t>
      </w:r>
      <w:bookmarkEnd w:id="4"/>
      <w:bookmarkEnd w:id="5"/>
      <w:bookmarkEnd w:id="6"/>
      <w:bookmarkEnd w:id="7"/>
      <w:bookmarkEnd w:id="8"/>
    </w:p>
    <w:p w:rsidR="00362091" w:rsidRDefault="00362091" w:rsidP="00362091">
      <w:pPr>
        <w:keepNext/>
        <w:widowControl w:val="0"/>
        <w:suppressAutoHyphens/>
        <w:jc w:val="both"/>
        <w:outlineLvl w:val="2"/>
        <w:rPr>
          <w:b/>
        </w:rPr>
      </w:pPr>
    </w:p>
    <w:p w:rsidR="000F5490" w:rsidRPr="00B460EE" w:rsidRDefault="000F5490" w:rsidP="00BA4A65">
      <w:pPr>
        <w:pStyle w:val="Heading2"/>
        <w:numPr>
          <w:ilvl w:val="1"/>
          <w:numId w:val="33"/>
        </w:numPr>
        <w:spacing w:after="240"/>
        <w:jc w:val="both"/>
        <w:rPr>
          <w:lang w:val="en-GB"/>
        </w:rPr>
      </w:pPr>
      <w:r w:rsidRPr="00B460EE">
        <w:rPr>
          <w:lang w:val="en-GB"/>
        </w:rPr>
        <w:t xml:space="preserve">In line with Article 4 of the Competition Safeguards and Article 4.2 of the </w:t>
      </w:r>
      <w:r w:rsidR="0035762B" w:rsidRPr="0035762B">
        <w:rPr>
          <w:lang w:val="en-GB"/>
        </w:rPr>
        <w:t>Ex ante Competition Safeguards</w:t>
      </w:r>
      <w:r w:rsidRPr="00B460EE">
        <w:rPr>
          <w:lang w:val="en-GB"/>
        </w:rPr>
        <w:t xml:space="preserve">, the purpose of these Guidelines is to outline a comprehensive set of principles that the TRA intends to apply in: </w:t>
      </w:r>
    </w:p>
    <w:p w:rsidR="000F5490" w:rsidRPr="00B460EE" w:rsidRDefault="002A509E" w:rsidP="00FF026B">
      <w:pPr>
        <w:pStyle w:val="ListParagraph"/>
        <w:numPr>
          <w:ilvl w:val="2"/>
          <w:numId w:val="24"/>
        </w:numPr>
        <w:tabs>
          <w:tab w:val="clear" w:pos="1680"/>
          <w:tab w:val="num" w:pos="2160"/>
        </w:tabs>
        <w:suppressAutoHyphens/>
        <w:spacing w:after="240"/>
        <w:ind w:left="2160" w:hanging="720"/>
        <w:contextualSpacing w:val="0"/>
        <w:jc w:val="both"/>
      </w:pPr>
      <w:r>
        <w:t>d</w:t>
      </w:r>
      <w:r w:rsidR="000F5490" w:rsidRPr="00B460EE">
        <w:t xml:space="preserve">efining Relevant Markets in the UAE telecommunications sector for the purpose of </w:t>
      </w:r>
      <w:r w:rsidR="000F5490">
        <w:t xml:space="preserve">an </w:t>
      </w:r>
      <w:r w:rsidR="008D759B" w:rsidRPr="008D759B">
        <w:rPr>
          <w:i/>
        </w:rPr>
        <w:t>ex ante</w:t>
      </w:r>
      <w:r w:rsidR="000F5490">
        <w:t xml:space="preserve"> market review</w:t>
      </w:r>
      <w:r w:rsidR="000F5490" w:rsidRPr="00B460EE">
        <w:t xml:space="preserve"> and/or </w:t>
      </w:r>
      <w:r w:rsidR="000F5490">
        <w:t xml:space="preserve">an </w:t>
      </w:r>
      <w:r w:rsidR="008D759B" w:rsidRPr="008D759B">
        <w:rPr>
          <w:i/>
        </w:rPr>
        <w:t>ex post</w:t>
      </w:r>
      <w:r w:rsidR="000F5490" w:rsidRPr="00B460EE">
        <w:t xml:space="preserve"> competition</w:t>
      </w:r>
      <w:r w:rsidR="000F5490">
        <w:t xml:space="preserve"> investigation</w:t>
      </w:r>
      <w:r w:rsidR="000F5490" w:rsidRPr="00B460EE">
        <w:t>; and</w:t>
      </w:r>
    </w:p>
    <w:p w:rsidR="000F5490" w:rsidRPr="00B460EE" w:rsidRDefault="002A509E" w:rsidP="00E154BA">
      <w:pPr>
        <w:pStyle w:val="ListParagraph"/>
        <w:numPr>
          <w:ilvl w:val="2"/>
          <w:numId w:val="24"/>
        </w:numPr>
        <w:tabs>
          <w:tab w:val="clear" w:pos="1680"/>
          <w:tab w:val="num" w:pos="2160"/>
        </w:tabs>
        <w:suppressAutoHyphens/>
        <w:spacing w:after="240"/>
        <w:ind w:left="2160" w:hanging="720"/>
        <w:contextualSpacing w:val="0"/>
        <w:jc w:val="both"/>
      </w:pPr>
      <w:proofErr w:type="gramStart"/>
      <w:r>
        <w:t>u</w:t>
      </w:r>
      <w:r w:rsidR="000F5490" w:rsidRPr="00B460EE">
        <w:t>ndertaking</w:t>
      </w:r>
      <w:proofErr w:type="gramEnd"/>
      <w:r w:rsidR="000F5490" w:rsidRPr="00B460EE">
        <w:t xml:space="preserve"> a competition assessment of these Relevant Markets.</w:t>
      </w:r>
    </w:p>
    <w:p w:rsidR="000F5490" w:rsidRPr="00B460EE" w:rsidRDefault="000F5490" w:rsidP="00974630">
      <w:pPr>
        <w:pStyle w:val="Heading2"/>
        <w:numPr>
          <w:ilvl w:val="1"/>
          <w:numId w:val="33"/>
        </w:numPr>
        <w:spacing w:after="240"/>
        <w:jc w:val="both"/>
        <w:rPr>
          <w:lang w:val="en-GB"/>
        </w:rPr>
      </w:pPr>
      <w:r>
        <w:rPr>
          <w:lang w:val="en-GB"/>
        </w:rPr>
        <w:t>T</w:t>
      </w:r>
      <w:r w:rsidRPr="00B460EE">
        <w:rPr>
          <w:lang w:val="en-GB"/>
        </w:rPr>
        <w:t xml:space="preserve">he TRA has issued these Guidelines to serve as an indicative </w:t>
      </w:r>
      <w:r>
        <w:rPr>
          <w:lang w:val="en-GB"/>
        </w:rPr>
        <w:t xml:space="preserve">framework for the TRA, relevant Entities and other interested stakeholders. As such, the TRA would expect to follow </w:t>
      </w:r>
      <w:r w:rsidR="008D759B">
        <w:rPr>
          <w:lang w:val="en-GB"/>
        </w:rPr>
        <w:t>these Guidelines</w:t>
      </w:r>
      <w:r>
        <w:rPr>
          <w:lang w:val="en-GB"/>
        </w:rPr>
        <w:t xml:space="preserve"> in the process of defining a market or undertaking a competition assessment. </w:t>
      </w:r>
      <w:r w:rsidRPr="00317C24">
        <w:rPr>
          <w:lang w:val="en-GB"/>
        </w:rPr>
        <w:t xml:space="preserve">However, the TRA cannot </w:t>
      </w:r>
      <w:r>
        <w:rPr>
          <w:lang w:val="en-GB"/>
        </w:rPr>
        <w:t xml:space="preserve">predict all market circumstances in </w:t>
      </w:r>
      <w:r w:rsidRPr="00317C24">
        <w:rPr>
          <w:lang w:val="en-GB"/>
        </w:rPr>
        <w:t>advance and</w:t>
      </w:r>
      <w:r>
        <w:rPr>
          <w:lang w:val="en-GB"/>
        </w:rPr>
        <w:t>,</w:t>
      </w:r>
      <w:r w:rsidRPr="00317C24">
        <w:rPr>
          <w:lang w:val="en-GB"/>
        </w:rPr>
        <w:t xml:space="preserve"> therefore</w:t>
      </w:r>
      <w:r>
        <w:rPr>
          <w:lang w:val="en-GB"/>
        </w:rPr>
        <w:t>,</w:t>
      </w:r>
      <w:r w:rsidRPr="00317C24">
        <w:rPr>
          <w:lang w:val="en-GB"/>
        </w:rPr>
        <w:t xml:space="preserve"> retain</w:t>
      </w:r>
      <w:r>
        <w:rPr>
          <w:lang w:val="en-GB"/>
        </w:rPr>
        <w:t>s</w:t>
      </w:r>
      <w:r w:rsidRPr="00317C24">
        <w:rPr>
          <w:lang w:val="en-GB"/>
        </w:rPr>
        <w:t xml:space="preserve"> the </w:t>
      </w:r>
      <w:r>
        <w:rPr>
          <w:lang w:val="en-GB"/>
        </w:rPr>
        <w:t>right</w:t>
      </w:r>
      <w:r w:rsidRPr="00317C24">
        <w:rPr>
          <w:lang w:val="en-GB"/>
        </w:rPr>
        <w:t xml:space="preserve"> to depart from the</w:t>
      </w:r>
      <w:r>
        <w:rPr>
          <w:lang w:val="en-GB"/>
        </w:rPr>
        <w:t>se</w:t>
      </w:r>
      <w:r w:rsidRPr="00317C24">
        <w:rPr>
          <w:lang w:val="en-GB"/>
        </w:rPr>
        <w:t xml:space="preserve"> </w:t>
      </w:r>
      <w:r>
        <w:rPr>
          <w:lang w:val="en-GB"/>
        </w:rPr>
        <w:t>G</w:t>
      </w:r>
      <w:r w:rsidRPr="00317C24">
        <w:rPr>
          <w:lang w:val="en-GB"/>
        </w:rPr>
        <w:t>uidelines wher</w:t>
      </w:r>
      <w:r>
        <w:rPr>
          <w:lang w:val="en-GB"/>
        </w:rPr>
        <w:t xml:space="preserve">e </w:t>
      </w:r>
      <w:r w:rsidR="008D759B">
        <w:rPr>
          <w:lang w:val="en-GB"/>
        </w:rPr>
        <w:t>the TRA</w:t>
      </w:r>
      <w:r>
        <w:rPr>
          <w:lang w:val="en-GB"/>
        </w:rPr>
        <w:t xml:space="preserve"> considers </w:t>
      </w:r>
      <w:r w:rsidR="008D759B">
        <w:rPr>
          <w:lang w:val="en-GB"/>
        </w:rPr>
        <w:t xml:space="preserve">that </w:t>
      </w:r>
      <w:r>
        <w:rPr>
          <w:lang w:val="en-GB"/>
        </w:rPr>
        <w:t xml:space="preserve">the circumstances warrant </w:t>
      </w:r>
      <w:r w:rsidR="008D759B">
        <w:rPr>
          <w:lang w:val="en-GB"/>
        </w:rPr>
        <w:t>such a course of action</w:t>
      </w:r>
      <w:r>
        <w:rPr>
          <w:lang w:val="en-GB"/>
        </w:rPr>
        <w:t>.</w:t>
      </w:r>
      <w:r w:rsidRPr="00317C24">
        <w:rPr>
          <w:lang w:val="en-GB"/>
        </w:rPr>
        <w:t xml:space="preserve"> </w:t>
      </w:r>
      <w:r>
        <w:rPr>
          <w:lang w:val="en-GB"/>
        </w:rPr>
        <w:t xml:space="preserve">If the </w:t>
      </w:r>
      <w:r w:rsidRPr="00317C24">
        <w:rPr>
          <w:lang w:val="en-GB"/>
        </w:rPr>
        <w:t xml:space="preserve">TRA </w:t>
      </w:r>
      <w:r>
        <w:rPr>
          <w:lang w:val="en-GB"/>
        </w:rPr>
        <w:t xml:space="preserve">considers it appropriate to </w:t>
      </w:r>
      <w:r w:rsidRPr="00317C24">
        <w:rPr>
          <w:lang w:val="en-GB"/>
        </w:rPr>
        <w:t>depart from the</w:t>
      </w:r>
      <w:r>
        <w:rPr>
          <w:lang w:val="en-GB"/>
        </w:rPr>
        <w:t>se</w:t>
      </w:r>
      <w:r w:rsidRPr="00317C24">
        <w:rPr>
          <w:lang w:val="en-GB"/>
        </w:rPr>
        <w:t xml:space="preserve"> </w:t>
      </w:r>
      <w:r>
        <w:rPr>
          <w:lang w:val="en-GB"/>
        </w:rPr>
        <w:t>G</w:t>
      </w:r>
      <w:r w:rsidRPr="00317C24">
        <w:rPr>
          <w:lang w:val="en-GB"/>
        </w:rPr>
        <w:t>uidelines</w:t>
      </w:r>
      <w:r>
        <w:rPr>
          <w:lang w:val="en-GB"/>
        </w:rPr>
        <w:t>,</w:t>
      </w:r>
      <w:r w:rsidRPr="00317C24">
        <w:rPr>
          <w:lang w:val="en-GB"/>
        </w:rPr>
        <w:t xml:space="preserve"> </w:t>
      </w:r>
      <w:r w:rsidR="008D759B">
        <w:rPr>
          <w:lang w:val="en-GB"/>
        </w:rPr>
        <w:t>the TRA</w:t>
      </w:r>
      <w:r w:rsidRPr="00974630">
        <w:rPr>
          <w:lang w:val="en-GB"/>
        </w:rPr>
        <w:t xml:space="preserve"> </w:t>
      </w:r>
      <w:r w:rsidRPr="00317C24">
        <w:rPr>
          <w:lang w:val="en-GB"/>
        </w:rPr>
        <w:t xml:space="preserve">will </w:t>
      </w:r>
      <w:r>
        <w:rPr>
          <w:lang w:val="en-GB"/>
        </w:rPr>
        <w:t>outline its</w:t>
      </w:r>
      <w:r w:rsidRPr="00317C24">
        <w:rPr>
          <w:lang w:val="en-GB"/>
        </w:rPr>
        <w:t xml:space="preserve"> reasons</w:t>
      </w:r>
      <w:r>
        <w:rPr>
          <w:lang w:val="en-GB"/>
        </w:rPr>
        <w:t xml:space="preserve"> for doing so</w:t>
      </w:r>
      <w:r w:rsidR="003E3EA9">
        <w:rPr>
          <w:lang w:val="en-GB"/>
        </w:rPr>
        <w:t xml:space="preserve"> </w:t>
      </w:r>
      <w:r w:rsidR="00F94583">
        <w:rPr>
          <w:lang w:val="en-GB"/>
        </w:rPr>
        <w:t xml:space="preserve">on a case-by-case basis </w:t>
      </w:r>
      <w:r w:rsidR="003E3EA9">
        <w:rPr>
          <w:lang w:val="en-GB"/>
        </w:rPr>
        <w:t>at that time</w:t>
      </w:r>
      <w:r>
        <w:rPr>
          <w:lang w:val="en-GB"/>
        </w:rPr>
        <w:t xml:space="preserve">. </w:t>
      </w:r>
    </w:p>
    <w:p w:rsidR="007E3368" w:rsidRPr="00362091" w:rsidRDefault="00362091" w:rsidP="00362091">
      <w:pPr>
        <w:numPr>
          <w:ilvl w:val="0"/>
          <w:numId w:val="33"/>
        </w:numPr>
        <w:spacing w:afterLines="100" w:line="260" w:lineRule="atLeast"/>
      </w:pPr>
      <w:r>
        <w:br w:type="page"/>
      </w:r>
      <w:r w:rsidR="000F5490" w:rsidRPr="00B460EE">
        <w:rPr>
          <w:b/>
        </w:rPr>
        <w:lastRenderedPageBreak/>
        <w:t>Scope</w:t>
      </w:r>
    </w:p>
    <w:p w:rsidR="00362091" w:rsidRDefault="00362091" w:rsidP="00362091"/>
    <w:p w:rsidR="000F5490" w:rsidRPr="00B460EE" w:rsidRDefault="000F5490" w:rsidP="00B460EE">
      <w:pPr>
        <w:pStyle w:val="Heading2"/>
        <w:numPr>
          <w:ilvl w:val="1"/>
          <w:numId w:val="33"/>
        </w:numPr>
        <w:spacing w:after="240"/>
        <w:jc w:val="both"/>
        <w:rPr>
          <w:lang w:val="en-GB"/>
        </w:rPr>
      </w:pPr>
      <w:r w:rsidRPr="00B460EE">
        <w:rPr>
          <w:lang w:val="en-GB"/>
        </w:rPr>
        <w:t xml:space="preserve">The TRA will use these Guidelines for both </w:t>
      </w:r>
      <w:r w:rsidR="008D759B" w:rsidRPr="008D759B">
        <w:rPr>
          <w:i/>
          <w:lang w:val="en-GB"/>
        </w:rPr>
        <w:t>ex ante</w:t>
      </w:r>
      <w:r w:rsidRPr="00B460EE">
        <w:rPr>
          <w:lang w:val="en-GB"/>
        </w:rPr>
        <w:t xml:space="preserve"> purposes and </w:t>
      </w:r>
      <w:r w:rsidR="008D759B" w:rsidRPr="008D759B">
        <w:rPr>
          <w:i/>
          <w:lang w:val="en-GB"/>
        </w:rPr>
        <w:t>ex post</w:t>
      </w:r>
      <w:r w:rsidRPr="00B460EE">
        <w:rPr>
          <w:lang w:val="en-GB"/>
        </w:rPr>
        <w:t xml:space="preserve"> purposes. Whilst the principles that the TRA will apply in </w:t>
      </w:r>
      <w:r w:rsidR="008D759B" w:rsidRPr="008D759B">
        <w:rPr>
          <w:i/>
          <w:lang w:val="en-GB"/>
        </w:rPr>
        <w:t>ex ante</w:t>
      </w:r>
      <w:r w:rsidRPr="00B460EE">
        <w:rPr>
          <w:lang w:val="en-GB"/>
        </w:rPr>
        <w:t xml:space="preserve"> and </w:t>
      </w:r>
      <w:r w:rsidR="008D759B" w:rsidRPr="008D759B">
        <w:rPr>
          <w:i/>
          <w:lang w:val="en-GB"/>
        </w:rPr>
        <w:t>ex post</w:t>
      </w:r>
      <w:r w:rsidRPr="00B460EE">
        <w:rPr>
          <w:lang w:val="en-GB"/>
        </w:rPr>
        <w:t xml:space="preserve"> cases are similar, the application of these principles can differ, reflecting the differing nature of </w:t>
      </w:r>
      <w:r w:rsidR="008D759B" w:rsidRPr="008D759B">
        <w:rPr>
          <w:i/>
          <w:lang w:val="en-GB"/>
        </w:rPr>
        <w:t>ex ante</w:t>
      </w:r>
      <w:r w:rsidRPr="00B460EE">
        <w:rPr>
          <w:lang w:val="en-GB"/>
        </w:rPr>
        <w:t xml:space="preserve"> market reviews and </w:t>
      </w:r>
      <w:r w:rsidR="008D759B" w:rsidRPr="008D759B">
        <w:rPr>
          <w:i/>
          <w:lang w:val="en-GB"/>
        </w:rPr>
        <w:t>ex post</w:t>
      </w:r>
      <w:r w:rsidRPr="00B460EE">
        <w:rPr>
          <w:lang w:val="en-GB"/>
        </w:rPr>
        <w:t xml:space="preserve"> competition investigations. For example when conducting an </w:t>
      </w:r>
      <w:r w:rsidR="008D759B" w:rsidRPr="008D759B">
        <w:rPr>
          <w:i/>
          <w:lang w:val="en-GB"/>
        </w:rPr>
        <w:t>ex ante</w:t>
      </w:r>
      <w:r w:rsidRPr="00B460EE">
        <w:rPr>
          <w:lang w:val="en-GB"/>
        </w:rPr>
        <w:t xml:space="preserve"> market review, in order to determine whether it is appropriate to maintain, expand or withdraw existing, and/or introduce additional </w:t>
      </w:r>
      <w:r w:rsidR="008D759B" w:rsidRPr="008D759B">
        <w:rPr>
          <w:i/>
          <w:lang w:val="en-GB"/>
        </w:rPr>
        <w:t>ex ante</w:t>
      </w:r>
      <w:r w:rsidRPr="00B460EE">
        <w:rPr>
          <w:lang w:val="en-GB"/>
        </w:rPr>
        <w:t xml:space="preserve"> obligations, the TRA will adopt a forward-looking view of the Relevant Market and will take into account how competition may develop over the period of the review. In contrast, </w:t>
      </w:r>
      <w:r w:rsidR="008D759B" w:rsidRPr="008D759B">
        <w:rPr>
          <w:i/>
          <w:lang w:val="en-GB"/>
        </w:rPr>
        <w:t>ex post</w:t>
      </w:r>
      <w:r w:rsidRPr="00B460EE">
        <w:rPr>
          <w:lang w:val="en-GB"/>
        </w:rPr>
        <w:t xml:space="preserve"> competition investigations are conducted in response to specific concerns or allegations related to possible anti-competitive behaviour and are, therefore, retrospective in nature. </w:t>
      </w:r>
    </w:p>
    <w:p w:rsidR="000F5490" w:rsidRPr="00B460EE" w:rsidRDefault="000F5490" w:rsidP="00B460EE">
      <w:pPr>
        <w:pStyle w:val="Heading2"/>
        <w:numPr>
          <w:ilvl w:val="1"/>
          <w:numId w:val="33"/>
        </w:numPr>
        <w:spacing w:after="240"/>
        <w:jc w:val="both"/>
        <w:rPr>
          <w:lang w:val="en-GB"/>
        </w:rPr>
      </w:pPr>
      <w:r w:rsidRPr="00B460EE">
        <w:rPr>
          <w:lang w:val="en-GB"/>
        </w:rPr>
        <w:t xml:space="preserve">As set out in </w:t>
      </w:r>
      <w:r w:rsidR="004E0E95" w:rsidRPr="00B460EE">
        <w:rPr>
          <w:lang w:val="en-GB"/>
        </w:rPr>
        <w:fldChar w:fldCharType="begin"/>
      </w:r>
      <w:r w:rsidRPr="00B460EE">
        <w:rPr>
          <w:lang w:val="en-GB"/>
        </w:rPr>
        <w:instrText xml:space="preserve"> REF _Ref266865044 \h </w:instrText>
      </w:r>
      <w:r w:rsidR="004E0E95" w:rsidRPr="00B460EE">
        <w:rPr>
          <w:lang w:val="en-GB"/>
        </w:rPr>
      </w:r>
      <w:r w:rsidR="004E0E95" w:rsidRPr="00B460EE">
        <w:rPr>
          <w:lang w:val="en-GB"/>
        </w:rPr>
        <w:fldChar w:fldCharType="separate"/>
      </w:r>
      <w:r w:rsidR="00D36817" w:rsidRPr="00B460EE">
        <w:rPr>
          <w:bCs/>
        </w:rPr>
        <w:t xml:space="preserve">Figure </w:t>
      </w:r>
      <w:r w:rsidR="00D36817" w:rsidRPr="00D36817">
        <w:rPr>
          <w:bCs/>
          <w:noProof/>
        </w:rPr>
        <w:t>1</w:t>
      </w:r>
      <w:r w:rsidR="004E0E95" w:rsidRPr="00B460EE">
        <w:rPr>
          <w:lang w:val="en-GB"/>
        </w:rPr>
        <w:fldChar w:fldCharType="end"/>
      </w:r>
      <w:r w:rsidRPr="00B460EE">
        <w:rPr>
          <w:lang w:val="en-GB"/>
        </w:rPr>
        <w:t xml:space="preserve"> below, both </w:t>
      </w:r>
      <w:r w:rsidR="008D759B" w:rsidRPr="008D759B">
        <w:rPr>
          <w:i/>
          <w:lang w:val="en-GB"/>
        </w:rPr>
        <w:t>ex ante</w:t>
      </w:r>
      <w:r w:rsidRPr="00B460EE">
        <w:rPr>
          <w:lang w:val="en-GB"/>
        </w:rPr>
        <w:t xml:space="preserve"> market reviews and </w:t>
      </w:r>
      <w:r w:rsidR="008D759B" w:rsidRPr="008D759B">
        <w:rPr>
          <w:i/>
          <w:lang w:val="en-GB"/>
        </w:rPr>
        <w:t>ex post</w:t>
      </w:r>
      <w:r w:rsidRPr="00B460EE">
        <w:rPr>
          <w:lang w:val="en-GB"/>
        </w:rPr>
        <w:t xml:space="preserve"> competition assessments will involve a similar set of steps, albeit different processes </w:t>
      </w:r>
      <w:r>
        <w:rPr>
          <w:lang w:val="en-GB"/>
        </w:rPr>
        <w:t xml:space="preserve">take place </w:t>
      </w:r>
      <w:r w:rsidRPr="00B460EE">
        <w:rPr>
          <w:lang w:val="en-GB"/>
        </w:rPr>
        <w:t xml:space="preserve">within these steps.  In an </w:t>
      </w:r>
      <w:r w:rsidR="008D759B" w:rsidRPr="008D759B">
        <w:rPr>
          <w:i/>
          <w:lang w:val="en-GB"/>
        </w:rPr>
        <w:t>ex ante</w:t>
      </w:r>
      <w:r w:rsidRPr="00B460EE">
        <w:rPr>
          <w:lang w:val="en-GB"/>
        </w:rPr>
        <w:t xml:space="preserve"> market review, the three steps (market definition, competition assessment and remedy design) must happen sequentially and the TRA considers it is important to get the input of stakeholders on these steps.  At a minimum, the TRA will therefore seek to consult with concerned parties after both the market definition and the competition assessment </w:t>
      </w:r>
      <w:r>
        <w:rPr>
          <w:lang w:val="en-GB"/>
        </w:rPr>
        <w:t>steps</w:t>
      </w:r>
      <w:r w:rsidRPr="00B460EE">
        <w:rPr>
          <w:lang w:val="en-GB"/>
        </w:rPr>
        <w:t xml:space="preserve"> of its review</w:t>
      </w:r>
      <w:r>
        <w:rPr>
          <w:lang w:val="en-GB"/>
        </w:rPr>
        <w:t xml:space="preserve"> are completed</w:t>
      </w:r>
      <w:r w:rsidRPr="00B460EE">
        <w:rPr>
          <w:lang w:val="en-GB"/>
        </w:rPr>
        <w:t xml:space="preserve">. </w:t>
      </w:r>
    </w:p>
    <w:p w:rsidR="000F5490" w:rsidRDefault="000F5490" w:rsidP="00BF31C1">
      <w:pPr>
        <w:pStyle w:val="Heading2"/>
        <w:numPr>
          <w:ilvl w:val="1"/>
          <w:numId w:val="33"/>
        </w:numPr>
        <w:spacing w:after="240"/>
        <w:jc w:val="both"/>
        <w:rPr>
          <w:lang w:val="en-GB"/>
        </w:rPr>
      </w:pPr>
      <w:r w:rsidRPr="00B460EE">
        <w:rPr>
          <w:lang w:val="en-GB"/>
        </w:rPr>
        <w:t xml:space="preserve">In contrast, as Figure 1 also shows, because the focus of the TRA’s </w:t>
      </w:r>
      <w:r w:rsidR="008D759B" w:rsidRPr="008D759B">
        <w:rPr>
          <w:i/>
          <w:lang w:val="en-GB"/>
        </w:rPr>
        <w:t>ex post</w:t>
      </w:r>
      <w:r w:rsidRPr="00B460EE">
        <w:rPr>
          <w:lang w:val="en-GB"/>
        </w:rPr>
        <w:t xml:space="preserve"> investigation will likely involve a concern or allegation of anti-competitive behaviour at a specific point in time, for any misuse of Market Power to be established, the TRA will need to ascertain that an anti-competitive practice has been entered into in a specific market</w:t>
      </w:r>
      <w:r w:rsidRPr="00E44B84">
        <w:rPr>
          <w:lang w:val="en-GB"/>
        </w:rPr>
        <w:t xml:space="preserve"> </w:t>
      </w:r>
      <w:r w:rsidRPr="00B460EE">
        <w:rPr>
          <w:lang w:val="en-GB"/>
        </w:rPr>
        <w:t xml:space="preserve">for the Telecommunication Service or related product </w:t>
      </w:r>
      <w:r>
        <w:rPr>
          <w:lang w:val="en-GB"/>
        </w:rPr>
        <w:t xml:space="preserve">by an </w:t>
      </w:r>
      <w:r w:rsidRPr="00B460EE">
        <w:rPr>
          <w:lang w:val="en-GB"/>
        </w:rPr>
        <w:t xml:space="preserve">Entity </w:t>
      </w:r>
      <w:r>
        <w:rPr>
          <w:lang w:val="en-GB"/>
        </w:rPr>
        <w:t>with Market Power</w:t>
      </w:r>
      <w:r w:rsidRPr="00B460EE">
        <w:rPr>
          <w:lang w:val="en-GB"/>
        </w:rPr>
        <w:t xml:space="preserve"> in th</w:t>
      </w:r>
      <w:r>
        <w:rPr>
          <w:lang w:val="en-GB"/>
        </w:rPr>
        <w:t>at</w:t>
      </w:r>
      <w:r w:rsidRPr="00B460EE">
        <w:rPr>
          <w:lang w:val="en-GB"/>
        </w:rPr>
        <w:t xml:space="preserve"> market. The TRA will therefore, undertake its market definition/competition assessment/remedy exercises simultaneously as it assesses potential anti-competitive behaviour. The TRA may consult on its findings with respect to an </w:t>
      </w:r>
      <w:r w:rsidR="008D759B" w:rsidRPr="008D759B">
        <w:rPr>
          <w:i/>
          <w:lang w:val="en-GB"/>
        </w:rPr>
        <w:t>ex post</w:t>
      </w:r>
      <w:r w:rsidRPr="00B460EE">
        <w:rPr>
          <w:lang w:val="en-GB"/>
        </w:rPr>
        <w:t xml:space="preserve"> investigation depending on the extent of the investigation and likely implications of any associated remedies.  </w:t>
      </w:r>
    </w:p>
    <w:p w:rsidR="000F5490" w:rsidRDefault="000F5490" w:rsidP="003A4AE5"/>
    <w:p w:rsidR="00F448FF" w:rsidRDefault="000F5490">
      <w:pPr>
        <w:pStyle w:val="Jheading2"/>
        <w:keepNext/>
        <w:spacing w:afterLines="150"/>
        <w:jc w:val="center"/>
        <w:rPr>
          <w:b w:val="0"/>
        </w:rPr>
      </w:pPr>
      <w:bookmarkStart w:id="9" w:name="_Ref266865044"/>
      <w:bookmarkStart w:id="10" w:name="_Ref266865040"/>
      <w:r w:rsidRPr="00B460EE">
        <w:rPr>
          <w:bCs/>
        </w:rPr>
        <w:lastRenderedPageBreak/>
        <w:t xml:space="preserve">Figure </w:t>
      </w:r>
      <w:fldSimple w:instr=" SEQ Figure \* MERGEFORMAT ">
        <w:r w:rsidR="00D36817" w:rsidRPr="00D36817">
          <w:rPr>
            <w:bCs/>
            <w:noProof/>
          </w:rPr>
          <w:t>1</w:t>
        </w:r>
      </w:fldSimple>
      <w:bookmarkEnd w:id="9"/>
      <w:r w:rsidRPr="00B460EE">
        <w:rPr>
          <w:b w:val="0"/>
        </w:rPr>
        <w:t xml:space="preserve"> </w:t>
      </w:r>
      <w:r w:rsidRPr="00B460EE">
        <w:rPr>
          <w:b w:val="0"/>
          <w:bCs/>
        </w:rPr>
        <w:t xml:space="preserve">Applying the Guidelines in </w:t>
      </w:r>
      <w:r w:rsidR="008D759B" w:rsidRPr="008D759B">
        <w:rPr>
          <w:b w:val="0"/>
          <w:i/>
        </w:rPr>
        <w:t>ex ante</w:t>
      </w:r>
      <w:r w:rsidRPr="00B460EE">
        <w:rPr>
          <w:b w:val="0"/>
          <w:bCs/>
        </w:rPr>
        <w:t xml:space="preserve"> and </w:t>
      </w:r>
      <w:r w:rsidR="008D759B" w:rsidRPr="008D759B">
        <w:rPr>
          <w:b w:val="0"/>
          <w:i/>
        </w:rPr>
        <w:t>ex post</w:t>
      </w:r>
      <w:r w:rsidRPr="00B460EE">
        <w:rPr>
          <w:b w:val="0"/>
          <w:bCs/>
        </w:rPr>
        <w:t xml:space="preserve"> circumstances</w:t>
      </w:r>
      <w:bookmarkEnd w:id="10"/>
    </w:p>
    <w:p w:rsidR="00F448FF" w:rsidRDefault="00445C13" w:rsidP="00A10E49">
      <w:pPr>
        <w:pStyle w:val="Jheading2"/>
        <w:keepNext/>
        <w:spacing w:afterLines="15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42.85pt;height:283.25pt;visibility:visible" o:bordertopcolor="black" o:borderleftcolor="black" o:borderbottomcolor="black" o:borderrightcolor="black">
            <v:imagedata r:id="rId8" o:title=""/>
            <w10:bordertop type="single" width="6"/>
            <w10:borderleft type="single" width="6"/>
            <w10:borderbottom type="single" width="6"/>
            <w10:borderright type="single" width="6"/>
          </v:shape>
        </w:pict>
      </w:r>
    </w:p>
    <w:p w:rsidR="000F5490" w:rsidRPr="00B460EE" w:rsidRDefault="000F5490" w:rsidP="00A85A7E">
      <w:pPr>
        <w:jc w:val="center"/>
      </w:pPr>
    </w:p>
    <w:p w:rsidR="002A509E" w:rsidRDefault="0052772D">
      <w:pPr>
        <w:pStyle w:val="Heading2"/>
        <w:numPr>
          <w:ilvl w:val="0"/>
          <w:numId w:val="33"/>
        </w:numPr>
        <w:spacing w:after="240"/>
        <w:jc w:val="both"/>
        <w:rPr>
          <w:b/>
          <w:lang w:val="en-GB"/>
        </w:rPr>
      </w:pPr>
      <w:r>
        <w:rPr>
          <w:b/>
          <w:lang w:val="en-GB"/>
        </w:rPr>
        <w:t xml:space="preserve">Specific scope for </w:t>
      </w:r>
      <w:r w:rsidR="00D1422C" w:rsidRPr="00D1422C">
        <w:rPr>
          <w:b/>
          <w:lang w:val="en-GB"/>
        </w:rPr>
        <w:t>ex ante</w:t>
      </w:r>
      <w:r>
        <w:rPr>
          <w:b/>
          <w:lang w:val="en-GB"/>
        </w:rPr>
        <w:t xml:space="preserve"> market reviews </w:t>
      </w:r>
    </w:p>
    <w:p w:rsidR="00362091" w:rsidRPr="00362091" w:rsidRDefault="00362091" w:rsidP="00362091"/>
    <w:p w:rsidR="000F5490" w:rsidRPr="00B460EE" w:rsidRDefault="000F5490" w:rsidP="00BA4A65">
      <w:pPr>
        <w:pStyle w:val="Heading2"/>
        <w:numPr>
          <w:ilvl w:val="1"/>
          <w:numId w:val="33"/>
        </w:numPr>
        <w:spacing w:after="240"/>
        <w:jc w:val="both"/>
        <w:rPr>
          <w:lang w:val="en-GB"/>
        </w:rPr>
      </w:pPr>
      <w:r w:rsidRPr="00B460EE">
        <w:rPr>
          <w:lang w:val="en-GB"/>
        </w:rPr>
        <w:t xml:space="preserve">Following Article 6.1 of the </w:t>
      </w:r>
      <w:r w:rsidR="0035762B" w:rsidRPr="0035762B">
        <w:rPr>
          <w:lang w:val="en-GB"/>
        </w:rPr>
        <w:t>Ex ante Competition Safeguards</w:t>
      </w:r>
      <w:r w:rsidRPr="00B460EE">
        <w:rPr>
          <w:lang w:val="en-GB"/>
        </w:rPr>
        <w:t xml:space="preserve">, “Any Entities designated as having Market Power in a Relevant Market may be subject to </w:t>
      </w:r>
      <w:r w:rsidR="008D759B" w:rsidRPr="008D759B">
        <w:rPr>
          <w:i/>
          <w:lang w:val="en-GB"/>
        </w:rPr>
        <w:t>ex ante</w:t>
      </w:r>
      <w:r w:rsidRPr="00B460EE">
        <w:rPr>
          <w:lang w:val="en-GB"/>
        </w:rPr>
        <w:t xml:space="preserve"> obligations additional to those in place under the Regulatory Framework at the time of the designation”. Further, under Article 6.2</w:t>
      </w:r>
      <w:r w:rsidR="00F94583">
        <w:rPr>
          <w:lang w:val="en-GB"/>
        </w:rPr>
        <w:t xml:space="preserve"> </w:t>
      </w:r>
      <w:r w:rsidR="00F94583" w:rsidRPr="00F94583">
        <w:rPr>
          <w:lang w:val="en-GB"/>
        </w:rPr>
        <w:t xml:space="preserve">of the </w:t>
      </w:r>
      <w:r w:rsidR="0035762B" w:rsidRPr="0035762B">
        <w:rPr>
          <w:lang w:val="en-GB"/>
        </w:rPr>
        <w:t>Ex ante Competition Safeguards</w:t>
      </w:r>
      <w:r w:rsidRPr="00B460EE">
        <w:rPr>
          <w:lang w:val="en-GB"/>
        </w:rPr>
        <w:t>, “The nature of these additional obligations shall depend on the outcome of an assessment of the level of competition in the Relevant Market.”</w:t>
      </w:r>
    </w:p>
    <w:p w:rsidR="000F5490" w:rsidRPr="001F59D9" w:rsidRDefault="000F5490" w:rsidP="00BA4083">
      <w:pPr>
        <w:pStyle w:val="Heading2"/>
        <w:numPr>
          <w:ilvl w:val="1"/>
          <w:numId w:val="33"/>
        </w:numPr>
        <w:spacing w:after="240"/>
        <w:jc w:val="both"/>
        <w:rPr>
          <w:lang w:val="en-GB"/>
        </w:rPr>
      </w:pPr>
      <w:r w:rsidRPr="00B460EE">
        <w:rPr>
          <w:lang w:val="en-GB"/>
        </w:rPr>
        <w:t xml:space="preserve">For </w:t>
      </w:r>
      <w:r w:rsidR="008D759B" w:rsidRPr="008D759B">
        <w:rPr>
          <w:i/>
          <w:lang w:val="en-GB"/>
        </w:rPr>
        <w:t>ex ante</w:t>
      </w:r>
      <w:r w:rsidRPr="00B460EE">
        <w:rPr>
          <w:lang w:val="en-GB"/>
        </w:rPr>
        <w:t xml:space="preserve"> purposes, the objectives of the market review exercise will be to determine whether an Entity </w:t>
      </w:r>
      <w:r w:rsidR="00D36093">
        <w:rPr>
          <w:lang w:val="en-GB"/>
        </w:rPr>
        <w:t xml:space="preserve">with Market Power </w:t>
      </w:r>
      <w:r w:rsidRPr="00B460EE">
        <w:rPr>
          <w:lang w:val="en-GB"/>
        </w:rPr>
        <w:t xml:space="preserve">is </w:t>
      </w:r>
      <w:r w:rsidR="00D36093">
        <w:rPr>
          <w:lang w:val="en-GB"/>
        </w:rPr>
        <w:t>at that time</w:t>
      </w:r>
      <w:r w:rsidR="00D36093" w:rsidRPr="00B460EE">
        <w:rPr>
          <w:lang w:val="en-GB"/>
        </w:rPr>
        <w:t xml:space="preserve"> </w:t>
      </w:r>
      <w:r w:rsidRPr="00B460EE">
        <w:rPr>
          <w:lang w:val="en-GB"/>
        </w:rPr>
        <w:t xml:space="preserve">and during the period covered by the review able to misuse its Market Power. The starting point for the </w:t>
      </w:r>
      <w:r w:rsidR="008D759B" w:rsidRPr="008D759B">
        <w:rPr>
          <w:i/>
          <w:lang w:val="en-GB"/>
        </w:rPr>
        <w:t>ex ante</w:t>
      </w:r>
      <w:r w:rsidRPr="00B460EE">
        <w:rPr>
          <w:lang w:val="en-GB"/>
        </w:rPr>
        <w:t xml:space="preserve"> market review will be a market definition exercise where the TRA typically expects to begin with a broad group of Telecommunication Services or related products, and then apply the principles described in these Guidelines to determine whether the group </w:t>
      </w:r>
      <w:r w:rsidR="00BA4083" w:rsidRPr="00B460EE">
        <w:rPr>
          <w:lang w:val="en-GB"/>
        </w:rPr>
        <w:t xml:space="preserve">of Telecommunication Services or related products </w:t>
      </w:r>
      <w:r w:rsidRPr="00B460EE">
        <w:rPr>
          <w:lang w:val="en-GB"/>
        </w:rPr>
        <w:t xml:space="preserve">should be further disaggregated or aggregated as a Relevant Market, </w:t>
      </w:r>
      <w:r w:rsidRPr="001F59D9">
        <w:rPr>
          <w:lang w:val="en-GB"/>
        </w:rPr>
        <w:t xml:space="preserve">taking </w:t>
      </w:r>
      <w:r w:rsidRPr="001F59D9">
        <w:rPr>
          <w:lang w:val="en-GB"/>
        </w:rPr>
        <w:lastRenderedPageBreak/>
        <w:t xml:space="preserve">account of the materiality test described in </w:t>
      </w:r>
      <w:r w:rsidR="00D1422C" w:rsidRPr="00D1422C">
        <w:rPr>
          <w:lang w:val="en-GB"/>
        </w:rPr>
        <w:t xml:space="preserve">Section </w:t>
      </w:r>
      <w:r w:rsidR="004E0E95">
        <w:fldChar w:fldCharType="begin"/>
      </w:r>
      <w:r w:rsidR="00F448FF">
        <w:instrText xml:space="preserve"> REF _Ref267060001 \r \h  \* MERGEFORMAT </w:instrText>
      </w:r>
      <w:r w:rsidR="004E0E95">
        <w:fldChar w:fldCharType="separate"/>
      </w:r>
      <w:r w:rsidR="00D36817" w:rsidRPr="00D36817">
        <w:rPr>
          <w:cs/>
          <w:lang w:val="en-GB"/>
        </w:rPr>
        <w:t>‎</w:t>
      </w:r>
      <w:r w:rsidR="00D36817">
        <w:t>8.20</w:t>
      </w:r>
      <w:r w:rsidR="004E0E95">
        <w:fldChar w:fldCharType="end"/>
      </w:r>
      <w:r w:rsidR="00D1422C" w:rsidRPr="00D1422C">
        <w:rPr>
          <w:lang w:val="en-GB"/>
        </w:rPr>
        <w:t xml:space="preserve"> of these Guidelines.</w:t>
      </w:r>
      <w:r w:rsidRPr="001F59D9">
        <w:rPr>
          <w:lang w:val="en-GB"/>
        </w:rPr>
        <w:t xml:space="preserve"> </w:t>
      </w:r>
    </w:p>
    <w:p w:rsidR="000F5490" w:rsidRPr="00B460EE" w:rsidRDefault="000F5490" w:rsidP="00BA4083">
      <w:pPr>
        <w:pStyle w:val="Heading2"/>
        <w:numPr>
          <w:ilvl w:val="1"/>
          <w:numId w:val="33"/>
        </w:numPr>
        <w:spacing w:after="240"/>
        <w:jc w:val="both"/>
        <w:rPr>
          <w:lang w:val="en-GB"/>
        </w:rPr>
      </w:pPr>
      <w:r w:rsidRPr="00B460EE">
        <w:rPr>
          <w:lang w:val="en-GB"/>
        </w:rPr>
        <w:t xml:space="preserve">Following the completion of the </w:t>
      </w:r>
      <w:r w:rsidR="008D759B" w:rsidRPr="008D759B">
        <w:rPr>
          <w:i/>
          <w:lang w:val="en-GB"/>
        </w:rPr>
        <w:t>ex ante</w:t>
      </w:r>
      <w:r w:rsidRPr="00B460EE">
        <w:rPr>
          <w:lang w:val="en-GB"/>
        </w:rPr>
        <w:t xml:space="preserve"> market definition exercise the </w:t>
      </w:r>
      <w:r w:rsidR="00D36093">
        <w:rPr>
          <w:lang w:val="en-GB"/>
        </w:rPr>
        <w:t xml:space="preserve">TRA will conduct a </w:t>
      </w:r>
      <w:r w:rsidRPr="00B460EE">
        <w:rPr>
          <w:lang w:val="en-GB"/>
        </w:rPr>
        <w:t xml:space="preserve">competition assessment of </w:t>
      </w:r>
      <w:r w:rsidR="00BA4083">
        <w:rPr>
          <w:lang w:val="en-GB"/>
        </w:rPr>
        <w:t>each of</w:t>
      </w:r>
      <w:r w:rsidRPr="00B460EE">
        <w:rPr>
          <w:lang w:val="en-GB"/>
        </w:rPr>
        <w:t xml:space="preserve"> the defined Relevant Markets </w:t>
      </w:r>
      <w:r w:rsidR="00D36093">
        <w:rPr>
          <w:lang w:val="en-GB"/>
        </w:rPr>
        <w:t xml:space="preserve">to assess </w:t>
      </w:r>
      <w:r w:rsidRPr="00B460EE">
        <w:rPr>
          <w:lang w:val="en-GB"/>
        </w:rPr>
        <w:t xml:space="preserve">the effectiveness of competition in </w:t>
      </w:r>
      <w:r w:rsidR="00D36093">
        <w:rPr>
          <w:lang w:val="en-GB"/>
        </w:rPr>
        <w:t xml:space="preserve">each of </w:t>
      </w:r>
      <w:r w:rsidRPr="00B460EE">
        <w:rPr>
          <w:lang w:val="en-GB"/>
        </w:rPr>
        <w:t>the</w:t>
      </w:r>
      <w:r w:rsidR="00BA4083">
        <w:rPr>
          <w:lang w:val="en-GB"/>
        </w:rPr>
        <w:t>se</w:t>
      </w:r>
      <w:r w:rsidRPr="00B460EE">
        <w:rPr>
          <w:lang w:val="en-GB"/>
        </w:rPr>
        <w:t xml:space="preserve"> Relevant Markets</w:t>
      </w:r>
      <w:r w:rsidR="00D36093">
        <w:rPr>
          <w:lang w:val="en-GB"/>
        </w:rPr>
        <w:t xml:space="preserve"> and to determine </w:t>
      </w:r>
      <w:r w:rsidRPr="00B460EE">
        <w:rPr>
          <w:lang w:val="en-GB"/>
        </w:rPr>
        <w:t xml:space="preserve">if any </w:t>
      </w:r>
      <w:r w:rsidR="00BA4083">
        <w:rPr>
          <w:lang w:val="en-GB"/>
        </w:rPr>
        <w:t xml:space="preserve">Entity </w:t>
      </w:r>
      <w:r w:rsidRPr="00B460EE">
        <w:rPr>
          <w:lang w:val="en-GB"/>
        </w:rPr>
        <w:t>hold</w:t>
      </w:r>
      <w:r w:rsidR="00BA4083">
        <w:rPr>
          <w:lang w:val="en-GB"/>
        </w:rPr>
        <w:t>s</w:t>
      </w:r>
      <w:r w:rsidRPr="00B460EE">
        <w:rPr>
          <w:lang w:val="en-GB"/>
        </w:rPr>
        <w:t xml:space="preserve"> a position of Market Power. To assess the effectiveness of competition, the TRA expects to examine existing and potential competition, as well as other possible competitive constraints in the Relevant Market. </w:t>
      </w:r>
    </w:p>
    <w:p w:rsidR="000F5490" w:rsidRPr="00B460EE" w:rsidRDefault="000F5490" w:rsidP="00BA4083">
      <w:pPr>
        <w:pStyle w:val="Heading2"/>
        <w:numPr>
          <w:ilvl w:val="1"/>
          <w:numId w:val="33"/>
        </w:numPr>
        <w:spacing w:after="240"/>
        <w:jc w:val="both"/>
        <w:rPr>
          <w:lang w:val="en-GB"/>
        </w:rPr>
      </w:pPr>
      <w:r w:rsidRPr="00B460EE">
        <w:rPr>
          <w:lang w:val="en-GB"/>
        </w:rPr>
        <w:t xml:space="preserve">The final step of an </w:t>
      </w:r>
      <w:r w:rsidR="008D759B" w:rsidRPr="008D759B">
        <w:rPr>
          <w:i/>
          <w:lang w:val="en-GB"/>
        </w:rPr>
        <w:t>ex ante</w:t>
      </w:r>
      <w:r w:rsidRPr="00B460EE">
        <w:rPr>
          <w:lang w:val="en-GB"/>
        </w:rPr>
        <w:t xml:space="preserve"> market review will be the determination of appropriate </w:t>
      </w:r>
      <w:r w:rsidR="008D759B" w:rsidRPr="008D759B">
        <w:rPr>
          <w:i/>
          <w:lang w:val="en-GB"/>
        </w:rPr>
        <w:t>ex ante</w:t>
      </w:r>
      <w:r w:rsidRPr="00B460EE">
        <w:rPr>
          <w:lang w:val="en-GB"/>
        </w:rPr>
        <w:t xml:space="preserve"> obligations</w:t>
      </w:r>
      <w:r>
        <w:rPr>
          <w:lang w:val="en-GB"/>
        </w:rPr>
        <w:t xml:space="preserve">, if any, to be imposed </w:t>
      </w:r>
      <w:r w:rsidRPr="00B460EE">
        <w:rPr>
          <w:lang w:val="en-GB"/>
        </w:rPr>
        <w:t>in a Relevant Market</w:t>
      </w:r>
      <w:r>
        <w:rPr>
          <w:lang w:val="en-GB"/>
        </w:rPr>
        <w:t xml:space="preserve"> and the appropriate level of those </w:t>
      </w:r>
      <w:r w:rsidRPr="00B460EE">
        <w:rPr>
          <w:lang w:val="en-GB"/>
        </w:rPr>
        <w:t xml:space="preserve"> </w:t>
      </w:r>
      <w:r w:rsidR="008D759B" w:rsidRPr="008D759B">
        <w:rPr>
          <w:i/>
          <w:lang w:val="en-GB"/>
        </w:rPr>
        <w:t>ex ante</w:t>
      </w:r>
      <w:r>
        <w:rPr>
          <w:lang w:val="en-GB"/>
        </w:rPr>
        <w:t xml:space="preserve"> obligations to </w:t>
      </w:r>
      <w:r w:rsidRPr="00B460EE">
        <w:rPr>
          <w:lang w:val="en-GB"/>
        </w:rPr>
        <w:t xml:space="preserve"> promote the efficient functioning of the </w:t>
      </w:r>
      <w:r>
        <w:rPr>
          <w:lang w:val="en-GB"/>
        </w:rPr>
        <w:t>Relevant M</w:t>
      </w:r>
      <w:r w:rsidRPr="00B460EE">
        <w:rPr>
          <w:lang w:val="en-GB"/>
        </w:rPr>
        <w:t>arket.</w:t>
      </w:r>
    </w:p>
    <w:p w:rsidR="000F5490" w:rsidRPr="00B460EE" w:rsidRDefault="000F5490" w:rsidP="00974630">
      <w:pPr>
        <w:pStyle w:val="Heading2"/>
        <w:numPr>
          <w:ilvl w:val="1"/>
          <w:numId w:val="33"/>
        </w:numPr>
        <w:spacing w:after="240"/>
        <w:jc w:val="both"/>
        <w:rPr>
          <w:lang w:val="en-GB"/>
        </w:rPr>
      </w:pPr>
      <w:bookmarkStart w:id="11" w:name="_Ref270493190"/>
      <w:r w:rsidRPr="00B460EE">
        <w:rPr>
          <w:lang w:val="en-GB"/>
        </w:rPr>
        <w:t xml:space="preserve">In maintaining or revising existing </w:t>
      </w:r>
      <w:r w:rsidR="008D759B" w:rsidRPr="008D759B">
        <w:rPr>
          <w:i/>
          <w:lang w:val="en-GB"/>
        </w:rPr>
        <w:t>ex ante</w:t>
      </w:r>
      <w:r w:rsidRPr="00B460EE">
        <w:rPr>
          <w:lang w:val="en-GB"/>
        </w:rPr>
        <w:t xml:space="preserve"> obligations</w:t>
      </w:r>
      <w:r>
        <w:rPr>
          <w:lang w:val="en-GB"/>
        </w:rPr>
        <w:t>,</w:t>
      </w:r>
      <w:r w:rsidRPr="00B460EE">
        <w:rPr>
          <w:lang w:val="en-GB"/>
        </w:rPr>
        <w:t xml:space="preserve"> or in imposing new obligations, the TRA considers </w:t>
      </w:r>
      <w:r w:rsidR="008D759B" w:rsidRPr="008D759B">
        <w:rPr>
          <w:i/>
          <w:lang w:val="en-GB"/>
        </w:rPr>
        <w:t>ex ante</w:t>
      </w:r>
      <w:r w:rsidRPr="00B460EE">
        <w:rPr>
          <w:lang w:val="en-GB"/>
        </w:rPr>
        <w:t xml:space="preserve"> obligations should be:</w:t>
      </w:r>
      <w:bookmarkEnd w:id="11"/>
    </w:p>
    <w:p w:rsidR="000F5490" w:rsidRPr="00B460EE" w:rsidRDefault="000F5490" w:rsidP="00974630">
      <w:pPr>
        <w:pStyle w:val="Heading2"/>
        <w:numPr>
          <w:ilvl w:val="2"/>
          <w:numId w:val="33"/>
        </w:numPr>
        <w:spacing w:after="240"/>
        <w:jc w:val="both"/>
        <w:rPr>
          <w:lang w:val="en-GB"/>
        </w:rPr>
      </w:pPr>
      <w:r w:rsidRPr="00B460EE">
        <w:rPr>
          <w:lang w:val="en-GB"/>
        </w:rPr>
        <w:t xml:space="preserve">Transparent – </w:t>
      </w:r>
      <w:r>
        <w:rPr>
          <w:lang w:val="en-GB"/>
        </w:rPr>
        <w:t xml:space="preserve">any </w:t>
      </w:r>
      <w:r w:rsidR="008D759B" w:rsidRPr="008D759B">
        <w:rPr>
          <w:i/>
          <w:lang w:val="en-GB"/>
        </w:rPr>
        <w:t>ex ante</w:t>
      </w:r>
      <w:r>
        <w:rPr>
          <w:lang w:val="en-GB"/>
        </w:rPr>
        <w:t xml:space="preserve"> obligations to be imposed should be </w:t>
      </w:r>
      <w:r w:rsidRPr="00B460EE">
        <w:rPr>
          <w:lang w:val="en-GB"/>
        </w:rPr>
        <w:t>clearly defined and effectively communicated to all relevant Entities;</w:t>
      </w:r>
    </w:p>
    <w:p w:rsidR="000F5490" w:rsidRPr="00B460EE" w:rsidRDefault="000F5490" w:rsidP="00974630">
      <w:pPr>
        <w:pStyle w:val="Heading2"/>
        <w:numPr>
          <w:ilvl w:val="2"/>
          <w:numId w:val="33"/>
        </w:numPr>
        <w:spacing w:after="240"/>
        <w:jc w:val="both"/>
        <w:rPr>
          <w:lang w:val="en-GB"/>
        </w:rPr>
      </w:pPr>
      <w:r w:rsidRPr="00B460EE">
        <w:rPr>
          <w:lang w:val="en-GB"/>
        </w:rPr>
        <w:t xml:space="preserve">Consistent – </w:t>
      </w:r>
      <w:r>
        <w:rPr>
          <w:lang w:val="en-GB"/>
        </w:rPr>
        <w:t xml:space="preserve">any </w:t>
      </w:r>
      <w:r w:rsidR="008D759B" w:rsidRPr="008D759B">
        <w:rPr>
          <w:i/>
          <w:lang w:val="en-GB"/>
        </w:rPr>
        <w:t>ex ante</w:t>
      </w:r>
      <w:r>
        <w:rPr>
          <w:lang w:val="en-GB"/>
        </w:rPr>
        <w:t xml:space="preserve"> obligations to be imposed should be consistent with the</w:t>
      </w:r>
      <w:r w:rsidRPr="00B460EE">
        <w:rPr>
          <w:lang w:val="en-GB"/>
        </w:rPr>
        <w:t xml:space="preserve"> objectives of addressing the competition concerns identified in the competition assessment; </w:t>
      </w:r>
    </w:p>
    <w:p w:rsidR="000F5490" w:rsidRPr="00B460EE" w:rsidRDefault="000F5490" w:rsidP="00974630">
      <w:pPr>
        <w:pStyle w:val="Heading2"/>
        <w:numPr>
          <w:ilvl w:val="2"/>
          <w:numId w:val="33"/>
        </w:numPr>
        <w:spacing w:after="240"/>
        <w:jc w:val="both"/>
        <w:rPr>
          <w:lang w:val="en-GB"/>
        </w:rPr>
      </w:pPr>
      <w:r w:rsidRPr="00B460EE">
        <w:rPr>
          <w:lang w:val="en-GB"/>
        </w:rPr>
        <w:t xml:space="preserve">Targeted - </w:t>
      </w:r>
      <w:r>
        <w:rPr>
          <w:lang w:val="en-GB"/>
        </w:rPr>
        <w:t xml:space="preserve">any </w:t>
      </w:r>
      <w:r w:rsidR="008D759B" w:rsidRPr="008D759B">
        <w:rPr>
          <w:i/>
          <w:lang w:val="en-GB"/>
        </w:rPr>
        <w:t>ex ante</w:t>
      </w:r>
      <w:r>
        <w:rPr>
          <w:lang w:val="en-GB"/>
        </w:rPr>
        <w:t xml:space="preserve"> obligation to be imposed should be </w:t>
      </w:r>
      <w:r w:rsidRPr="00B460EE">
        <w:rPr>
          <w:lang w:val="en-GB"/>
        </w:rPr>
        <w:t xml:space="preserve">the minimum obligations necessary to remedy the competition concerns identified in the competition assessment; and </w:t>
      </w:r>
    </w:p>
    <w:p w:rsidR="000F5490" w:rsidRDefault="000F5490">
      <w:pPr>
        <w:pStyle w:val="Heading2"/>
        <w:numPr>
          <w:ilvl w:val="2"/>
          <w:numId w:val="33"/>
        </w:numPr>
        <w:spacing w:after="240"/>
        <w:jc w:val="both"/>
        <w:rPr>
          <w:lang w:val="en-GB"/>
        </w:rPr>
      </w:pPr>
      <w:r w:rsidRPr="00B460EE">
        <w:rPr>
          <w:lang w:val="en-GB"/>
        </w:rPr>
        <w:t>Proportional –</w:t>
      </w:r>
      <w:r w:rsidR="00580299">
        <w:rPr>
          <w:lang w:val="en-GB"/>
        </w:rPr>
        <w:t xml:space="preserve"> any </w:t>
      </w:r>
      <w:r w:rsidR="008D759B" w:rsidRPr="008D759B">
        <w:rPr>
          <w:i/>
          <w:lang w:val="en-GB"/>
        </w:rPr>
        <w:t>ex ante</w:t>
      </w:r>
      <w:r w:rsidR="00580299">
        <w:rPr>
          <w:lang w:val="en-GB"/>
        </w:rPr>
        <w:t xml:space="preserve"> obligations to be imposed should be </w:t>
      </w:r>
      <w:r w:rsidR="00580299" w:rsidRPr="00B460EE">
        <w:rPr>
          <w:lang w:val="en-GB"/>
        </w:rPr>
        <w:t xml:space="preserve">proportional to the </w:t>
      </w:r>
      <w:r w:rsidR="00580299">
        <w:rPr>
          <w:lang w:val="en-GB"/>
        </w:rPr>
        <w:t xml:space="preserve">harm to </w:t>
      </w:r>
      <w:r w:rsidR="00580299" w:rsidRPr="00B460EE">
        <w:rPr>
          <w:lang w:val="en-GB"/>
        </w:rPr>
        <w:t xml:space="preserve">competition </w:t>
      </w:r>
      <w:r w:rsidR="00580299">
        <w:rPr>
          <w:lang w:val="en-GB"/>
        </w:rPr>
        <w:t xml:space="preserve">or other policy objectives sought to be remedied or mitigated by those </w:t>
      </w:r>
      <w:r w:rsidR="008D759B" w:rsidRPr="008D759B">
        <w:rPr>
          <w:i/>
          <w:lang w:val="en-GB"/>
        </w:rPr>
        <w:t>ex ante</w:t>
      </w:r>
      <w:r w:rsidR="00580299">
        <w:rPr>
          <w:lang w:val="en-GB"/>
        </w:rPr>
        <w:t xml:space="preserve"> obligations</w:t>
      </w:r>
      <w:r w:rsidRPr="00B460EE">
        <w:rPr>
          <w:lang w:val="en-GB"/>
        </w:rPr>
        <w:t xml:space="preserve">.  </w:t>
      </w:r>
    </w:p>
    <w:p w:rsidR="000F5490" w:rsidRDefault="000F5490">
      <w:pPr>
        <w:ind w:left="1418"/>
        <w:jc w:val="both"/>
      </w:pPr>
      <w:r w:rsidRPr="00B460EE">
        <w:t xml:space="preserve">In deciding whether or not to impose </w:t>
      </w:r>
      <w:r w:rsidR="008D759B" w:rsidRPr="008D759B">
        <w:rPr>
          <w:i/>
        </w:rPr>
        <w:t>ex ante</w:t>
      </w:r>
      <w:r w:rsidRPr="00B460EE">
        <w:t xml:space="preserve"> obligations the TRA may also consider how competition in a Relevant Market may differ in the a</w:t>
      </w:r>
      <w:r w:rsidRPr="00B460EE">
        <w:t>b</w:t>
      </w:r>
      <w:r w:rsidRPr="00B460EE">
        <w:t xml:space="preserve">sence of </w:t>
      </w:r>
      <w:r>
        <w:t xml:space="preserve">imposing </w:t>
      </w:r>
      <w:r w:rsidRPr="00B460EE">
        <w:t>the</w:t>
      </w:r>
      <w:r>
        <w:t>se</w:t>
      </w:r>
      <w:r w:rsidRPr="00B460EE">
        <w:t xml:space="preserve"> </w:t>
      </w:r>
      <w:r w:rsidR="008D759B" w:rsidRPr="008D759B">
        <w:rPr>
          <w:i/>
        </w:rPr>
        <w:t>ex ante</w:t>
      </w:r>
      <w:r w:rsidRPr="00B460EE">
        <w:t xml:space="preserve"> obligations.  Finally, the TRA may also reduce the scope or altogether withdraw existing </w:t>
      </w:r>
      <w:r w:rsidR="008D759B" w:rsidRPr="008D759B">
        <w:rPr>
          <w:i/>
        </w:rPr>
        <w:t>ex ante</w:t>
      </w:r>
      <w:r w:rsidRPr="00B460EE">
        <w:t xml:space="preserve"> obligations </w:t>
      </w:r>
      <w:r w:rsidRPr="00B460EE">
        <w:lastRenderedPageBreak/>
        <w:t>where it considers a market to be effectively competitive</w:t>
      </w:r>
      <w:r w:rsidRPr="00B460EE">
        <w:rPr>
          <w:rStyle w:val="FootnoteReference"/>
        </w:rPr>
        <w:footnoteReference w:id="3"/>
      </w:r>
      <w:r w:rsidRPr="00B460EE">
        <w:t xml:space="preserve">  or prospe</w:t>
      </w:r>
      <w:r w:rsidRPr="00B460EE">
        <w:t>c</w:t>
      </w:r>
      <w:r w:rsidRPr="00B460EE">
        <w:t>tively competitive</w:t>
      </w:r>
      <w:r w:rsidRPr="00B460EE">
        <w:rPr>
          <w:rStyle w:val="FootnoteReference"/>
        </w:rPr>
        <w:footnoteReference w:id="4"/>
      </w:r>
      <w:r w:rsidRPr="00B460EE">
        <w:t xml:space="preserve">.  </w:t>
      </w:r>
    </w:p>
    <w:p w:rsidR="000F5490" w:rsidRPr="00B460EE" w:rsidRDefault="000F5490" w:rsidP="00115B01">
      <w:pPr>
        <w:pStyle w:val="Heading2"/>
        <w:tabs>
          <w:tab w:val="clear" w:pos="360"/>
        </w:tabs>
        <w:ind w:left="720" w:firstLine="0"/>
        <w:jc w:val="both"/>
        <w:rPr>
          <w:lang w:val="en-GB"/>
        </w:rPr>
      </w:pPr>
      <w:r w:rsidRPr="00B460EE">
        <w:rPr>
          <w:lang w:val="en-GB"/>
        </w:rPr>
        <w:t xml:space="preserve"> </w:t>
      </w:r>
    </w:p>
    <w:p w:rsidR="00834A07" w:rsidRPr="003F1193" w:rsidRDefault="00834A07" w:rsidP="00834A07">
      <w:pPr>
        <w:pStyle w:val="Heading2"/>
        <w:numPr>
          <w:ilvl w:val="1"/>
          <w:numId w:val="33"/>
        </w:numPr>
        <w:spacing w:after="240"/>
        <w:jc w:val="both"/>
        <w:rPr>
          <w:lang w:val="en-GB"/>
        </w:rPr>
      </w:pPr>
      <w:r w:rsidRPr="000F5490">
        <w:rPr>
          <w:lang w:val="en-GB"/>
        </w:rPr>
        <w:t xml:space="preserve">The TRA considers that it is important to conduct an </w:t>
      </w:r>
      <w:r w:rsidRPr="008D759B">
        <w:rPr>
          <w:i/>
          <w:lang w:val="en-GB"/>
        </w:rPr>
        <w:t>ex ante</w:t>
      </w:r>
      <w:r w:rsidRPr="000F5490">
        <w:rPr>
          <w:lang w:val="en-GB"/>
        </w:rPr>
        <w:t xml:space="preserve"> market review exercise </w:t>
      </w:r>
      <w:r>
        <w:rPr>
          <w:lang w:val="en-GB"/>
        </w:rPr>
        <w:t>on a regular basis</w:t>
      </w:r>
      <w:r w:rsidRPr="000F5490">
        <w:rPr>
          <w:lang w:val="en-GB"/>
        </w:rPr>
        <w:t>. This will ensure that any changes in the competitive conditions in the sector are</w:t>
      </w:r>
      <w:r>
        <w:rPr>
          <w:lang w:val="en-GB"/>
        </w:rPr>
        <w:t xml:space="preserve"> taken into account.  Such periodic reviews will consider </w:t>
      </w:r>
      <w:r>
        <w:rPr>
          <w:i/>
          <w:lang w:val="en-GB"/>
        </w:rPr>
        <w:t>inter alia</w:t>
      </w:r>
      <w:r>
        <w:rPr>
          <w:lang w:val="en-GB"/>
        </w:rPr>
        <w:t xml:space="preserve"> whether any Relevant Markets</w:t>
      </w:r>
      <w:r>
        <w:rPr>
          <w:rStyle w:val="FootnoteReference"/>
          <w:lang w:val="en-GB"/>
        </w:rPr>
        <w:footnoteReference w:id="5"/>
      </w:r>
      <w:r>
        <w:rPr>
          <w:lang w:val="en-GB"/>
        </w:rPr>
        <w:t xml:space="preserve"> still exist or have changed, whether any new Relevant Markets have emerged, whether any existing </w:t>
      </w:r>
      <w:r>
        <w:rPr>
          <w:i/>
          <w:lang w:val="en-GB"/>
        </w:rPr>
        <w:t>ex ante</w:t>
      </w:r>
      <w:r>
        <w:rPr>
          <w:lang w:val="en-GB"/>
        </w:rPr>
        <w:t xml:space="preserve"> obligations should be </w:t>
      </w:r>
      <w:r w:rsidR="006352B9">
        <w:rPr>
          <w:lang w:val="en-GB"/>
        </w:rPr>
        <w:t xml:space="preserve">amended or </w:t>
      </w:r>
      <w:r>
        <w:rPr>
          <w:lang w:val="en-GB"/>
        </w:rPr>
        <w:t xml:space="preserve">removed, and whether any new </w:t>
      </w:r>
      <w:r>
        <w:rPr>
          <w:i/>
          <w:lang w:val="en-GB"/>
        </w:rPr>
        <w:t xml:space="preserve">ex ante </w:t>
      </w:r>
      <w:r>
        <w:rPr>
          <w:lang w:val="en-GB"/>
        </w:rPr>
        <w:t xml:space="preserve">obligations should be </w:t>
      </w:r>
      <w:r w:rsidR="006352B9">
        <w:rPr>
          <w:lang w:val="en-GB"/>
        </w:rPr>
        <w:t>introduced</w:t>
      </w:r>
      <w:r>
        <w:rPr>
          <w:lang w:val="en-GB"/>
        </w:rPr>
        <w:t>.</w:t>
      </w:r>
    </w:p>
    <w:p w:rsidR="000F5490" w:rsidRPr="003F1193" w:rsidRDefault="000F5490" w:rsidP="00C87F21">
      <w:pPr>
        <w:pStyle w:val="Heading2"/>
        <w:numPr>
          <w:ilvl w:val="1"/>
          <w:numId w:val="33"/>
        </w:numPr>
        <w:spacing w:after="240"/>
        <w:jc w:val="both"/>
        <w:rPr>
          <w:lang w:val="en-GB"/>
        </w:rPr>
      </w:pPr>
      <w:r w:rsidRPr="000F5490">
        <w:rPr>
          <w:lang w:val="en-GB"/>
        </w:rPr>
        <w:t xml:space="preserve">The TRA </w:t>
      </w:r>
      <w:r w:rsidR="006352B9">
        <w:rPr>
          <w:lang w:val="en-GB"/>
        </w:rPr>
        <w:t xml:space="preserve">recognises that </w:t>
      </w:r>
      <w:r w:rsidRPr="000F5490">
        <w:rPr>
          <w:lang w:val="en-GB"/>
        </w:rPr>
        <w:t xml:space="preserve">a market review exercise </w:t>
      </w:r>
      <w:r w:rsidR="006352B9">
        <w:rPr>
          <w:lang w:val="en-GB"/>
        </w:rPr>
        <w:t>is</w:t>
      </w:r>
      <w:r w:rsidRPr="000F5490">
        <w:rPr>
          <w:lang w:val="en-GB"/>
        </w:rPr>
        <w:t xml:space="preserve"> a time</w:t>
      </w:r>
      <w:r w:rsidR="006352B9">
        <w:rPr>
          <w:lang w:val="en-GB"/>
        </w:rPr>
        <w:t xml:space="preserve"> consuming </w:t>
      </w:r>
      <w:r w:rsidRPr="000F5490">
        <w:rPr>
          <w:lang w:val="en-GB"/>
        </w:rPr>
        <w:t xml:space="preserve">and resource intensive activity for all concerned parties. </w:t>
      </w:r>
      <w:r w:rsidR="006352B9">
        <w:rPr>
          <w:lang w:val="en-GB"/>
        </w:rPr>
        <w:t xml:space="preserve">Thus, the TRA </w:t>
      </w:r>
      <w:r w:rsidR="00D36093">
        <w:rPr>
          <w:lang w:val="en-GB"/>
        </w:rPr>
        <w:t xml:space="preserve">believes </w:t>
      </w:r>
      <w:r w:rsidR="006352B9">
        <w:rPr>
          <w:lang w:val="en-GB"/>
        </w:rPr>
        <w:t xml:space="preserve">that periodic reviews </w:t>
      </w:r>
      <w:r w:rsidR="00AA2D3E">
        <w:rPr>
          <w:lang w:val="en-GB"/>
        </w:rPr>
        <w:t>should</w:t>
      </w:r>
      <w:r w:rsidR="006352B9">
        <w:rPr>
          <w:lang w:val="en-GB"/>
        </w:rPr>
        <w:t xml:space="preserve"> not occur at such high frequency so as to overburden the resources of the industry</w:t>
      </w:r>
      <w:r w:rsidR="00D36093">
        <w:rPr>
          <w:lang w:val="en-GB"/>
        </w:rPr>
        <w:t xml:space="preserve"> or indeed the TRA itself</w:t>
      </w:r>
      <w:r w:rsidR="006352B9">
        <w:rPr>
          <w:lang w:val="en-GB"/>
        </w:rPr>
        <w:t>.  Equally, the TRA recognises that Entities require a reasonable level of regulatory certainty to be able to manage their businesses</w:t>
      </w:r>
      <w:r w:rsidR="00D36093">
        <w:rPr>
          <w:lang w:val="en-GB"/>
        </w:rPr>
        <w:t xml:space="preserve"> efficiently</w:t>
      </w:r>
      <w:r w:rsidR="006352B9">
        <w:rPr>
          <w:lang w:val="en-GB"/>
        </w:rPr>
        <w:t xml:space="preserve">.  </w:t>
      </w:r>
    </w:p>
    <w:p w:rsidR="000F5490" w:rsidRDefault="000F5490" w:rsidP="00CE3944">
      <w:pPr>
        <w:pStyle w:val="Heading2"/>
        <w:numPr>
          <w:ilvl w:val="1"/>
          <w:numId w:val="33"/>
        </w:numPr>
        <w:spacing w:after="240"/>
        <w:jc w:val="both"/>
        <w:rPr>
          <w:lang w:val="en-GB"/>
        </w:rPr>
      </w:pPr>
      <w:r w:rsidRPr="000F5490">
        <w:rPr>
          <w:lang w:val="en-GB"/>
        </w:rPr>
        <w:t xml:space="preserve">Taking the above factors into consideration, the TRA considers that it </w:t>
      </w:r>
      <w:r w:rsidR="00394B68">
        <w:rPr>
          <w:lang w:val="en-GB"/>
        </w:rPr>
        <w:t>will</w:t>
      </w:r>
      <w:r w:rsidR="00394B68" w:rsidRPr="000F5490">
        <w:rPr>
          <w:lang w:val="en-GB"/>
        </w:rPr>
        <w:t xml:space="preserve"> </w:t>
      </w:r>
      <w:r w:rsidRPr="000F5490">
        <w:rPr>
          <w:lang w:val="en-GB"/>
        </w:rPr>
        <w:t xml:space="preserve">undertake an </w:t>
      </w:r>
      <w:r w:rsidR="008D759B" w:rsidRPr="008D759B">
        <w:rPr>
          <w:i/>
          <w:lang w:val="en-GB"/>
        </w:rPr>
        <w:t>ex ante</w:t>
      </w:r>
      <w:r w:rsidRPr="000F5490">
        <w:rPr>
          <w:lang w:val="en-GB"/>
        </w:rPr>
        <w:t xml:space="preserve"> market review </w:t>
      </w:r>
      <w:r w:rsidR="00AA2D3E">
        <w:rPr>
          <w:lang w:val="en-GB"/>
        </w:rPr>
        <w:t>exercise once</w:t>
      </w:r>
      <w:r w:rsidRPr="000F5490">
        <w:rPr>
          <w:lang w:val="en-GB"/>
        </w:rPr>
        <w:t xml:space="preserve"> every three years. However, it </w:t>
      </w:r>
      <w:r w:rsidR="00394B68">
        <w:rPr>
          <w:lang w:val="en-GB"/>
        </w:rPr>
        <w:t>does</w:t>
      </w:r>
      <w:r w:rsidR="00394B68" w:rsidRPr="000F5490">
        <w:rPr>
          <w:lang w:val="en-GB"/>
        </w:rPr>
        <w:t xml:space="preserve"> </w:t>
      </w:r>
      <w:r w:rsidRPr="000F5490">
        <w:rPr>
          <w:lang w:val="en-GB"/>
        </w:rPr>
        <w:t xml:space="preserve">reserve the right to conduct an </w:t>
      </w:r>
      <w:r w:rsidR="008D759B" w:rsidRPr="008D759B">
        <w:rPr>
          <w:i/>
          <w:lang w:val="en-GB"/>
        </w:rPr>
        <w:t>ex ante</w:t>
      </w:r>
      <w:r w:rsidRPr="000F5490">
        <w:rPr>
          <w:lang w:val="en-GB"/>
        </w:rPr>
        <w:t xml:space="preserve"> market review at other times should the TRA believe that </w:t>
      </w:r>
      <w:r w:rsidR="00AA2D3E">
        <w:rPr>
          <w:lang w:val="en-GB"/>
        </w:rPr>
        <w:t>the competitive</w:t>
      </w:r>
      <w:r w:rsidR="00AA2D3E" w:rsidRPr="000F5490">
        <w:rPr>
          <w:lang w:val="en-GB"/>
        </w:rPr>
        <w:t xml:space="preserve"> </w:t>
      </w:r>
      <w:r w:rsidRPr="000F5490">
        <w:rPr>
          <w:lang w:val="en-GB"/>
        </w:rPr>
        <w:t>circumstances</w:t>
      </w:r>
      <w:r w:rsidR="00AA2D3E">
        <w:rPr>
          <w:lang w:val="en-GB"/>
        </w:rPr>
        <w:t xml:space="preserve"> of the sector</w:t>
      </w:r>
      <w:r w:rsidRPr="000F5490">
        <w:rPr>
          <w:lang w:val="en-GB"/>
        </w:rPr>
        <w:t xml:space="preserve"> have changed </w:t>
      </w:r>
      <w:r w:rsidR="00394B68">
        <w:rPr>
          <w:lang w:val="en-GB"/>
        </w:rPr>
        <w:t xml:space="preserve">so </w:t>
      </w:r>
      <w:r w:rsidRPr="000F5490">
        <w:rPr>
          <w:lang w:val="en-GB"/>
        </w:rPr>
        <w:t xml:space="preserve">significantly </w:t>
      </w:r>
      <w:r w:rsidR="00AA2D3E">
        <w:rPr>
          <w:lang w:val="en-GB"/>
        </w:rPr>
        <w:t>and</w:t>
      </w:r>
      <w:r w:rsidRPr="000F5490">
        <w:rPr>
          <w:lang w:val="en-GB"/>
        </w:rPr>
        <w:t xml:space="preserve"> warrant </w:t>
      </w:r>
      <w:r w:rsidR="00AA2D3E">
        <w:rPr>
          <w:lang w:val="en-GB"/>
        </w:rPr>
        <w:t>such a course of action.</w:t>
      </w:r>
    </w:p>
    <w:p w:rsidR="002A509E" w:rsidRDefault="002A509E"/>
    <w:p w:rsidR="002A509E" w:rsidRDefault="0052772D">
      <w:pPr>
        <w:pStyle w:val="Heading2"/>
        <w:numPr>
          <w:ilvl w:val="0"/>
          <w:numId w:val="33"/>
        </w:numPr>
        <w:spacing w:after="240"/>
        <w:jc w:val="both"/>
        <w:rPr>
          <w:b/>
          <w:lang w:val="en-GB"/>
        </w:rPr>
      </w:pPr>
      <w:r>
        <w:rPr>
          <w:b/>
          <w:lang w:val="en-GB"/>
        </w:rPr>
        <w:t xml:space="preserve">Specific scope for </w:t>
      </w:r>
      <w:r w:rsidR="00D1422C" w:rsidRPr="00D1422C">
        <w:rPr>
          <w:b/>
          <w:lang w:val="en-GB"/>
        </w:rPr>
        <w:t>ex post</w:t>
      </w:r>
      <w:r>
        <w:rPr>
          <w:b/>
          <w:lang w:val="en-GB"/>
        </w:rPr>
        <w:t xml:space="preserve"> competition investigations</w:t>
      </w:r>
    </w:p>
    <w:p w:rsidR="00362091" w:rsidRPr="00362091" w:rsidRDefault="00362091" w:rsidP="00362091"/>
    <w:p w:rsidR="000F5490" w:rsidRPr="00B460EE" w:rsidRDefault="000F5490" w:rsidP="00BE441D">
      <w:pPr>
        <w:pStyle w:val="Heading2"/>
        <w:numPr>
          <w:ilvl w:val="1"/>
          <w:numId w:val="33"/>
        </w:numPr>
        <w:spacing w:after="240"/>
        <w:jc w:val="both"/>
        <w:rPr>
          <w:lang w:val="en-GB"/>
        </w:rPr>
      </w:pPr>
      <w:r w:rsidRPr="00B460EE">
        <w:rPr>
          <w:lang w:val="en-GB"/>
        </w:rPr>
        <w:t xml:space="preserve">Article 6.1 </w:t>
      </w:r>
      <w:bookmarkStart w:id="12" w:name="OLE_LINK1"/>
      <w:bookmarkStart w:id="13" w:name="OLE_LINK2"/>
      <w:r w:rsidRPr="00B460EE">
        <w:rPr>
          <w:lang w:val="en-GB"/>
        </w:rPr>
        <w:t xml:space="preserve">of the Competition Safeguards </w:t>
      </w:r>
      <w:bookmarkEnd w:id="12"/>
      <w:bookmarkEnd w:id="13"/>
      <w:r w:rsidRPr="00B460EE">
        <w:rPr>
          <w:lang w:val="en-GB"/>
        </w:rPr>
        <w:t>specifies that “An Entity with Market Power in a Relevant Market shall not misuse its Market Power in a way which does or may restrict, prevent, or distort competition in that Relevant Market or any other Relevant Market</w:t>
      </w:r>
      <w:r>
        <w:rPr>
          <w:lang w:val="en-GB"/>
        </w:rPr>
        <w:t>”</w:t>
      </w:r>
      <w:r w:rsidRPr="00B460EE">
        <w:rPr>
          <w:lang w:val="en-GB"/>
        </w:rPr>
        <w:t xml:space="preserve">. Therefore, the objective of an </w:t>
      </w:r>
      <w:r w:rsidR="008D759B" w:rsidRPr="008D759B">
        <w:rPr>
          <w:i/>
          <w:lang w:val="en-GB"/>
        </w:rPr>
        <w:t>ex post</w:t>
      </w:r>
      <w:r w:rsidRPr="00B460EE">
        <w:rPr>
          <w:lang w:val="en-GB"/>
        </w:rPr>
        <w:t xml:space="preserve"> competition investigation is to both establish the Relevant Market which is currently being affected (or had been affected) by </w:t>
      </w:r>
      <w:r w:rsidRPr="00B460EE">
        <w:rPr>
          <w:lang w:val="en-GB"/>
        </w:rPr>
        <w:lastRenderedPageBreak/>
        <w:t>alleged anti-competitive behaviour</w:t>
      </w:r>
      <w:r w:rsidR="00394B68">
        <w:rPr>
          <w:lang w:val="en-GB"/>
        </w:rPr>
        <w:t>,</w:t>
      </w:r>
      <w:r w:rsidRPr="00B460EE">
        <w:rPr>
          <w:lang w:val="en-GB"/>
        </w:rPr>
        <w:t xml:space="preserve"> and to determine if the Entity who has (or had) Market Power in the Relevant Market is misusing (or </w:t>
      </w:r>
      <w:r w:rsidR="00BE441D">
        <w:rPr>
          <w:lang w:val="en-GB"/>
        </w:rPr>
        <w:t xml:space="preserve">at </w:t>
      </w:r>
      <w:r w:rsidRPr="00B460EE">
        <w:rPr>
          <w:lang w:val="en-GB"/>
        </w:rPr>
        <w:t xml:space="preserve">the time of the alleged behaviour misused) its Market Power.  </w:t>
      </w:r>
    </w:p>
    <w:p w:rsidR="000F5490" w:rsidRPr="00B460EE" w:rsidRDefault="000F5490" w:rsidP="0070483A">
      <w:pPr>
        <w:pStyle w:val="Heading2"/>
        <w:numPr>
          <w:ilvl w:val="1"/>
          <w:numId w:val="33"/>
        </w:numPr>
        <w:spacing w:after="240"/>
        <w:jc w:val="both"/>
        <w:rPr>
          <w:lang w:val="en-GB"/>
        </w:rPr>
      </w:pPr>
      <w:r>
        <w:rPr>
          <w:lang w:val="en-GB"/>
        </w:rPr>
        <w:t>The TRA may commence a</w:t>
      </w:r>
      <w:r w:rsidRPr="00B460EE">
        <w:rPr>
          <w:lang w:val="en-GB"/>
        </w:rPr>
        <w:t xml:space="preserve">n </w:t>
      </w:r>
      <w:r w:rsidR="008D759B" w:rsidRPr="008D759B">
        <w:rPr>
          <w:i/>
          <w:lang w:val="en-GB"/>
        </w:rPr>
        <w:t>ex post</w:t>
      </w:r>
      <w:r w:rsidRPr="00B460EE">
        <w:rPr>
          <w:lang w:val="en-GB"/>
        </w:rPr>
        <w:t xml:space="preserve"> competition investigation </w:t>
      </w:r>
      <w:r>
        <w:rPr>
          <w:lang w:val="en-GB"/>
        </w:rPr>
        <w:t xml:space="preserve">as the result of a </w:t>
      </w:r>
      <w:r w:rsidRPr="00B460EE">
        <w:rPr>
          <w:lang w:val="en-GB"/>
        </w:rPr>
        <w:t xml:space="preserve">complaint (from another Entity or a consumer) or </w:t>
      </w:r>
      <w:r>
        <w:rPr>
          <w:lang w:val="en-GB"/>
        </w:rPr>
        <w:t>on</w:t>
      </w:r>
      <w:r w:rsidRPr="00B460EE">
        <w:rPr>
          <w:lang w:val="en-GB"/>
        </w:rPr>
        <w:t xml:space="preserve"> the TRA’s independent initiative.  While market definitions developed for </w:t>
      </w:r>
      <w:r w:rsidR="008D759B" w:rsidRPr="008D759B">
        <w:rPr>
          <w:i/>
          <w:lang w:val="en-GB"/>
        </w:rPr>
        <w:t>ex ante</w:t>
      </w:r>
      <w:r w:rsidRPr="00B460EE">
        <w:rPr>
          <w:lang w:val="en-GB"/>
        </w:rPr>
        <w:t xml:space="preserve"> purposes may provide a useful starting point, for an </w:t>
      </w:r>
      <w:r w:rsidR="008D759B" w:rsidRPr="008D759B">
        <w:rPr>
          <w:i/>
          <w:lang w:val="en-GB"/>
        </w:rPr>
        <w:t>ex post</w:t>
      </w:r>
      <w:r w:rsidRPr="00B460EE">
        <w:rPr>
          <w:lang w:val="en-GB"/>
        </w:rPr>
        <w:t xml:space="preserve"> competition investigation the TRA expects to </w:t>
      </w:r>
      <w:r w:rsidR="00394B68">
        <w:rPr>
          <w:lang w:val="en-GB"/>
        </w:rPr>
        <w:t xml:space="preserve">determine </w:t>
      </w:r>
      <w:proofErr w:type="gramStart"/>
      <w:r w:rsidR="00394B68">
        <w:rPr>
          <w:lang w:val="en-GB"/>
        </w:rPr>
        <w:t>what are</w:t>
      </w:r>
      <w:r w:rsidR="00394B68" w:rsidRPr="00B460EE">
        <w:rPr>
          <w:lang w:val="en-GB"/>
        </w:rPr>
        <w:t xml:space="preserve"> </w:t>
      </w:r>
      <w:r w:rsidRPr="00B460EE">
        <w:rPr>
          <w:lang w:val="en-GB"/>
        </w:rPr>
        <w:t>the Relevant Markets on a ‘case-by-case’ basis</w:t>
      </w:r>
      <w:proofErr w:type="gramEnd"/>
      <w:r w:rsidRPr="00B460EE">
        <w:rPr>
          <w:lang w:val="en-GB"/>
        </w:rPr>
        <w:t>.</w:t>
      </w:r>
    </w:p>
    <w:p w:rsidR="000F5490" w:rsidRPr="00B460EE" w:rsidRDefault="000F5490" w:rsidP="00115B01">
      <w:pPr>
        <w:pStyle w:val="Heading2"/>
        <w:numPr>
          <w:ilvl w:val="1"/>
          <w:numId w:val="33"/>
        </w:numPr>
        <w:spacing w:after="240"/>
        <w:jc w:val="both"/>
        <w:rPr>
          <w:lang w:val="en-GB"/>
        </w:rPr>
      </w:pPr>
      <w:r w:rsidRPr="00B460EE">
        <w:rPr>
          <w:lang w:val="en-GB"/>
        </w:rPr>
        <w:t xml:space="preserve">The starting point for an </w:t>
      </w:r>
      <w:r w:rsidR="008D759B" w:rsidRPr="008D759B">
        <w:rPr>
          <w:i/>
          <w:lang w:val="en-GB"/>
        </w:rPr>
        <w:t>ex post</w:t>
      </w:r>
      <w:r w:rsidRPr="00B460EE">
        <w:rPr>
          <w:lang w:val="en-GB"/>
        </w:rPr>
        <w:t xml:space="preserve"> market definition exercise, carried out to investigate an alleged anti-competitive behaviour, is the narrow group of Telecommunication Services or related products which are the focus of the alleged behaviour. The TRA will examine, using the principles set out in these Guidelines, whether these Telecommunication Services or related products constitute a Relevant Market on their own, or whether the Relevant Market should be expanded to include any substitute (or complementary) Telecommunication Services or related products. </w:t>
      </w:r>
    </w:p>
    <w:p w:rsidR="000F5490" w:rsidRPr="00B460EE" w:rsidRDefault="000F5490" w:rsidP="00115B01">
      <w:pPr>
        <w:pStyle w:val="Heading2"/>
        <w:numPr>
          <w:ilvl w:val="1"/>
          <w:numId w:val="33"/>
        </w:numPr>
        <w:spacing w:after="240"/>
        <w:jc w:val="both"/>
        <w:rPr>
          <w:lang w:val="en-GB"/>
        </w:rPr>
      </w:pPr>
      <w:r w:rsidRPr="00B460EE">
        <w:rPr>
          <w:lang w:val="en-GB"/>
        </w:rPr>
        <w:t xml:space="preserve">Following the completion of the </w:t>
      </w:r>
      <w:r w:rsidR="008D759B" w:rsidRPr="008D759B">
        <w:rPr>
          <w:i/>
          <w:lang w:val="en-GB"/>
        </w:rPr>
        <w:t>ex post</w:t>
      </w:r>
      <w:r w:rsidRPr="00B460EE">
        <w:rPr>
          <w:lang w:val="en-GB"/>
        </w:rPr>
        <w:t xml:space="preserve"> market definition exercise the </w:t>
      </w:r>
      <w:r w:rsidR="00394B68">
        <w:rPr>
          <w:lang w:val="en-GB"/>
        </w:rPr>
        <w:t xml:space="preserve">TRA will undertake a </w:t>
      </w:r>
      <w:r w:rsidRPr="00B460EE">
        <w:rPr>
          <w:lang w:val="en-GB"/>
        </w:rPr>
        <w:t xml:space="preserve">competition assessment of the defined Relevant Market </w:t>
      </w:r>
      <w:r w:rsidR="00394B68">
        <w:rPr>
          <w:lang w:val="en-GB"/>
        </w:rPr>
        <w:t>to</w:t>
      </w:r>
      <w:r w:rsidR="00394B68" w:rsidRPr="00B460EE">
        <w:rPr>
          <w:lang w:val="en-GB"/>
        </w:rPr>
        <w:t xml:space="preserve"> </w:t>
      </w:r>
      <w:r w:rsidRPr="00B460EE">
        <w:rPr>
          <w:lang w:val="en-GB"/>
        </w:rPr>
        <w:t xml:space="preserve">assess whether </w:t>
      </w:r>
      <w:r w:rsidR="00394B68">
        <w:rPr>
          <w:lang w:val="en-GB"/>
        </w:rPr>
        <w:t xml:space="preserve">or not </w:t>
      </w:r>
      <w:r w:rsidRPr="00B460EE">
        <w:rPr>
          <w:lang w:val="en-GB"/>
        </w:rPr>
        <w:t>the Entity which is the subject of the investigation has (or had, over the relevant period) a position of Market Power in the Relevant Market. If the TRA concludes that the Entity has (or had, over the relevant period) a position of Market Power</w:t>
      </w:r>
      <w:r w:rsidR="00394B68">
        <w:rPr>
          <w:lang w:val="en-GB"/>
        </w:rPr>
        <w:t>,</w:t>
      </w:r>
      <w:r w:rsidRPr="00B460EE">
        <w:rPr>
          <w:lang w:val="en-GB"/>
        </w:rPr>
        <w:t xml:space="preserve"> it will then assess if the Entity has misused that Market Power and over what time period the misuse has occurred. </w:t>
      </w:r>
    </w:p>
    <w:p w:rsidR="000F5490" w:rsidRPr="002108DE" w:rsidRDefault="00580299" w:rsidP="00ED392E">
      <w:pPr>
        <w:pStyle w:val="Heading2"/>
        <w:numPr>
          <w:ilvl w:val="1"/>
          <w:numId w:val="33"/>
        </w:numPr>
        <w:spacing w:after="240"/>
        <w:jc w:val="both"/>
        <w:rPr>
          <w:lang w:val="en-GB"/>
        </w:rPr>
      </w:pPr>
      <w:r w:rsidRPr="002108DE">
        <w:rPr>
          <w:lang w:val="en-GB"/>
        </w:rPr>
        <w:t xml:space="preserve">If the TRA concludes that the Entity has misused its Market Power in the Relevant Market, the TRA will then consider what actions it should take as appropriate, including, but not limited to imposing </w:t>
      </w:r>
      <w:r w:rsidR="002108DE" w:rsidRPr="002108DE">
        <w:rPr>
          <w:lang w:val="en-GB"/>
        </w:rPr>
        <w:t xml:space="preserve">sanctions </w:t>
      </w:r>
      <w:r w:rsidR="00D843D4">
        <w:rPr>
          <w:lang w:val="en-GB"/>
        </w:rPr>
        <w:t>against</w:t>
      </w:r>
      <w:r w:rsidR="002108DE" w:rsidRPr="002108DE">
        <w:rPr>
          <w:lang w:val="en-GB"/>
        </w:rPr>
        <w:t xml:space="preserve"> that Entity.  Such sanctions would be determined in accordance with the principles set out in section </w:t>
      </w:r>
      <w:r w:rsidR="004E0E95">
        <w:rPr>
          <w:highlight w:val="yellow"/>
          <w:lang w:val="en-GB"/>
        </w:rPr>
        <w:fldChar w:fldCharType="begin"/>
      </w:r>
      <w:r w:rsidR="002108DE">
        <w:rPr>
          <w:lang w:val="en-GB"/>
        </w:rPr>
        <w:instrText xml:space="preserve"> REF _Ref270493190 \r \h </w:instrText>
      </w:r>
      <w:r w:rsidR="004E0E95">
        <w:rPr>
          <w:highlight w:val="yellow"/>
          <w:lang w:val="en-GB"/>
        </w:rPr>
      </w:r>
      <w:r w:rsidR="004E0E95">
        <w:rPr>
          <w:highlight w:val="yellow"/>
          <w:lang w:val="en-GB"/>
        </w:rPr>
        <w:fldChar w:fldCharType="separate"/>
      </w:r>
      <w:r w:rsidR="00D36817">
        <w:rPr>
          <w:cs/>
          <w:lang w:val="en-GB"/>
        </w:rPr>
        <w:t>‎</w:t>
      </w:r>
      <w:r w:rsidR="00D36817">
        <w:rPr>
          <w:lang w:val="en-GB"/>
        </w:rPr>
        <w:t>6.5</w:t>
      </w:r>
      <w:r w:rsidR="004E0E95">
        <w:rPr>
          <w:highlight w:val="yellow"/>
          <w:lang w:val="en-GB"/>
        </w:rPr>
        <w:fldChar w:fldCharType="end"/>
      </w:r>
      <w:r w:rsidR="002108DE" w:rsidRPr="002108DE">
        <w:rPr>
          <w:lang w:val="en-GB"/>
        </w:rPr>
        <w:t xml:space="preserve"> of these Guidelines and may include </w:t>
      </w:r>
      <w:r w:rsidRPr="002108DE">
        <w:rPr>
          <w:lang w:val="en-GB"/>
        </w:rPr>
        <w:t>a fine as stipulated by the Telecommunications Law, its Executive Order or the Regulatory Framework</w:t>
      </w:r>
      <w:r w:rsidR="004965F5" w:rsidRPr="002108DE">
        <w:rPr>
          <w:lang w:val="en-GB"/>
        </w:rPr>
        <w:t xml:space="preserve"> and</w:t>
      </w:r>
      <w:r w:rsidR="00394B68">
        <w:rPr>
          <w:lang w:val="en-GB"/>
        </w:rPr>
        <w:t xml:space="preserve"> </w:t>
      </w:r>
      <w:r w:rsidR="004965F5" w:rsidRPr="002108DE">
        <w:rPr>
          <w:lang w:val="en-GB"/>
        </w:rPr>
        <w:t>any other remedies or measures which the TRA considers to be appropriate and objectively justified according to the particular circumstances of the case</w:t>
      </w:r>
      <w:r w:rsidR="000F5490" w:rsidRPr="002108DE">
        <w:rPr>
          <w:lang w:val="en-GB"/>
        </w:rPr>
        <w:t xml:space="preserve">.  </w:t>
      </w:r>
    </w:p>
    <w:p w:rsidR="000F5490" w:rsidRPr="00B460EE" w:rsidRDefault="000F5490" w:rsidP="00ED392E">
      <w:pPr>
        <w:pStyle w:val="Heading2"/>
        <w:numPr>
          <w:ilvl w:val="1"/>
          <w:numId w:val="33"/>
        </w:numPr>
        <w:spacing w:after="240"/>
        <w:jc w:val="both"/>
        <w:rPr>
          <w:lang w:val="en-GB"/>
        </w:rPr>
      </w:pPr>
      <w:bookmarkStart w:id="14" w:name="_Ref266868376"/>
      <w:r w:rsidRPr="002108DE">
        <w:rPr>
          <w:lang w:val="en-GB"/>
        </w:rPr>
        <w:t>Finally, the TRA considers that the process for investigating alleged anti-competitive agreements prohibited under Article 5.1 of the Competition Safeguards may differ from the process described above for investigating potential misuse of Market Power, the principle diff</w:t>
      </w:r>
      <w:r w:rsidRPr="00B460EE">
        <w:rPr>
          <w:lang w:val="en-GB"/>
        </w:rPr>
        <w:t xml:space="preserve">erence being the need to determine whether the Entities subject to the agreement had Market Power in the Relevant Market.  As set out in </w:t>
      </w:r>
      <w:r w:rsidRPr="00B460EE">
        <w:rPr>
          <w:lang w:val="en-GB"/>
        </w:rPr>
        <w:lastRenderedPageBreak/>
        <w:t xml:space="preserve">Article 5.1, and subject to the exclusions in Article 5.3 of the Competition Safeguards, an agreement or understanding is anti-competitive if it had or could have had “the objective or effect … to restrict, prevent, or distort competition in a Relevant Market”. </w:t>
      </w:r>
      <w:proofErr w:type="gramStart"/>
      <w:r w:rsidRPr="00B460EE">
        <w:rPr>
          <w:lang w:val="en-GB"/>
        </w:rPr>
        <w:t xml:space="preserve">Therefore, when investigating such agreements or understandings on an </w:t>
      </w:r>
      <w:r w:rsidR="008D759B" w:rsidRPr="008D759B">
        <w:rPr>
          <w:i/>
          <w:lang w:val="en-GB"/>
        </w:rPr>
        <w:t>ex post</w:t>
      </w:r>
      <w:r w:rsidRPr="00B460EE">
        <w:rPr>
          <w:lang w:val="en-GB"/>
        </w:rPr>
        <w:t xml:space="preserve"> basis, the TRA will define the Relevant Market that is currently being affected (or may have been affected) and then assess the conduct in question.</w:t>
      </w:r>
      <w:bookmarkEnd w:id="14"/>
      <w:proofErr w:type="gramEnd"/>
      <w:r w:rsidRPr="00B460EE">
        <w:rPr>
          <w:lang w:val="en-GB"/>
        </w:rPr>
        <w:t xml:space="preserve">  If the TRA concludes that an anti-competitive agreement has been entered into, it will then consider what actions it should take, as appropriate.</w:t>
      </w:r>
    </w:p>
    <w:p w:rsidR="000F5490" w:rsidRPr="00B460EE" w:rsidDel="00203B3A" w:rsidRDefault="000F5490" w:rsidP="007F32D6"/>
    <w:p w:rsidR="00F448FF" w:rsidRDefault="000F5490">
      <w:pPr>
        <w:keepNext/>
        <w:widowControl w:val="0"/>
        <w:numPr>
          <w:ilvl w:val="0"/>
          <w:numId w:val="33"/>
        </w:numPr>
        <w:suppressAutoHyphens/>
        <w:spacing w:afterLines="100" w:line="260" w:lineRule="atLeast"/>
        <w:jc w:val="both"/>
        <w:outlineLvl w:val="2"/>
        <w:rPr>
          <w:b/>
        </w:rPr>
      </w:pPr>
      <w:bookmarkStart w:id="15" w:name="_Ref260399435"/>
      <w:bookmarkStart w:id="16" w:name="_Toc260737128"/>
      <w:bookmarkStart w:id="17" w:name="_Toc260738232"/>
      <w:bookmarkStart w:id="18" w:name="_Toc260738733"/>
      <w:bookmarkStart w:id="19" w:name="_Toc261602974"/>
      <w:bookmarkStart w:id="20" w:name="_Ref261857525"/>
      <w:r w:rsidRPr="00B460EE">
        <w:rPr>
          <w:b/>
        </w:rPr>
        <w:t>Approach to market definition</w:t>
      </w:r>
      <w:bookmarkEnd w:id="15"/>
      <w:bookmarkEnd w:id="16"/>
      <w:bookmarkEnd w:id="17"/>
      <w:bookmarkEnd w:id="18"/>
      <w:bookmarkEnd w:id="19"/>
      <w:bookmarkEnd w:id="20"/>
    </w:p>
    <w:p w:rsidR="000F5490" w:rsidRPr="00B460EE" w:rsidRDefault="000F5490" w:rsidP="00183CDF">
      <w:pPr>
        <w:suppressAutoHyphens/>
        <w:ind w:left="720"/>
        <w:jc w:val="both"/>
        <w:rPr>
          <w:b/>
        </w:rPr>
      </w:pPr>
    </w:p>
    <w:p w:rsidR="000F5490" w:rsidRDefault="000F5490" w:rsidP="00BA4A65">
      <w:pPr>
        <w:pStyle w:val="Heading2"/>
        <w:numPr>
          <w:ilvl w:val="1"/>
          <w:numId w:val="33"/>
        </w:numPr>
        <w:spacing w:after="240"/>
        <w:jc w:val="both"/>
        <w:rPr>
          <w:lang w:val="en-GB"/>
        </w:rPr>
      </w:pPr>
      <w:bookmarkStart w:id="21" w:name="_Ref261855287"/>
      <w:r w:rsidRPr="00B460EE">
        <w:rPr>
          <w:lang w:val="en-GB"/>
        </w:rPr>
        <w:t>Market definition is not an end in itself but a fundamental prerequisite to determining the level of competition in a market. The TRA’s general approach to market definition will be to use the principles of demand-side and supply-side substitutability to define the relevant economic market in a number of different dimensions. This section sets out the TRA’s approach.</w:t>
      </w:r>
      <w:bookmarkStart w:id="22" w:name="_Ref260391286"/>
      <w:bookmarkStart w:id="23" w:name="_Toc260737129"/>
      <w:bookmarkStart w:id="24" w:name="_Toc260738233"/>
      <w:bookmarkStart w:id="25" w:name="_Toc260738734"/>
      <w:bookmarkStart w:id="26" w:name="_Toc261602975"/>
      <w:bookmarkEnd w:id="21"/>
    </w:p>
    <w:p w:rsidR="000F5490" w:rsidRPr="00B460EE" w:rsidRDefault="000F5490" w:rsidP="002C314E">
      <w:pPr>
        <w:pStyle w:val="Jheading2"/>
        <w:keepNext/>
        <w:widowControl w:val="0"/>
        <w:suppressAutoHyphens/>
        <w:spacing w:afterLines="100" w:line="260" w:lineRule="atLeast"/>
        <w:ind w:left="1440" w:hanging="720"/>
        <w:jc w:val="both"/>
        <w:outlineLvl w:val="2"/>
      </w:pPr>
      <w:r w:rsidRPr="00B460EE">
        <w:t>Overall framework for market definition</w:t>
      </w:r>
      <w:bookmarkEnd w:id="22"/>
      <w:bookmarkEnd w:id="23"/>
      <w:bookmarkEnd w:id="24"/>
      <w:bookmarkEnd w:id="25"/>
      <w:bookmarkEnd w:id="26"/>
    </w:p>
    <w:p w:rsidR="000F5490" w:rsidRPr="00B460EE" w:rsidRDefault="000F5490" w:rsidP="00F54007">
      <w:pPr>
        <w:pStyle w:val="Heading2"/>
        <w:numPr>
          <w:ilvl w:val="1"/>
          <w:numId w:val="33"/>
        </w:numPr>
        <w:spacing w:after="240"/>
        <w:jc w:val="both"/>
        <w:rPr>
          <w:lang w:val="en-GB"/>
        </w:rPr>
      </w:pPr>
      <w:bookmarkStart w:id="27" w:name="_Ref261855215"/>
      <w:r w:rsidRPr="00B460EE">
        <w:rPr>
          <w:lang w:val="en-GB"/>
        </w:rPr>
        <w:t>Telecommunication Markets are defined in terms of a set of Telecommunication Services or related products and a geographic area in which competition occurs. In general, this is determined by identifying the constraints on the price setting behaviour of Entities. These pricing constraints may come from the existence of demand-side substitution and/or supply-side substitution.</w:t>
      </w:r>
      <w:bookmarkEnd w:id="27"/>
      <w:r w:rsidRPr="00B460EE">
        <w:rPr>
          <w:lang w:val="en-GB"/>
        </w:rPr>
        <w:t xml:space="preserve">  </w:t>
      </w:r>
    </w:p>
    <w:p w:rsidR="000F5490" w:rsidRPr="00B460EE" w:rsidRDefault="000F5490" w:rsidP="00BA4A65">
      <w:pPr>
        <w:pStyle w:val="Heading2"/>
        <w:numPr>
          <w:ilvl w:val="1"/>
          <w:numId w:val="33"/>
        </w:numPr>
        <w:spacing w:after="240"/>
        <w:jc w:val="both"/>
        <w:rPr>
          <w:lang w:val="en-GB"/>
        </w:rPr>
      </w:pPr>
      <w:r w:rsidRPr="00B460EE">
        <w:rPr>
          <w:lang w:val="en-GB"/>
        </w:rPr>
        <w:t xml:space="preserve">Demand-side substitution looks at the extent to which prices for the Telecommunication Services or related products are constrained by the availability of other Telecommunication Services or related products. Demand-side substitution can typically provide a more immediate competitive constraint than supply-side substitution or the threat of potential competition.  </w:t>
      </w:r>
    </w:p>
    <w:p w:rsidR="000F5490" w:rsidRPr="00B460EE" w:rsidRDefault="000F5490" w:rsidP="00BF68C1">
      <w:pPr>
        <w:pStyle w:val="Heading2"/>
        <w:numPr>
          <w:ilvl w:val="1"/>
          <w:numId w:val="33"/>
        </w:numPr>
        <w:spacing w:after="240"/>
        <w:jc w:val="both"/>
        <w:rPr>
          <w:lang w:val="en-GB"/>
        </w:rPr>
      </w:pPr>
      <w:r w:rsidRPr="00B460EE">
        <w:rPr>
          <w:lang w:val="en-GB"/>
        </w:rPr>
        <w:t>Supply-side substitution looks at the extent to which the price for a Telecommunication Service or related product is constrained by the ability of an Entity (or a new entrant) to switch to the production of the relevant Telecommunication Service or related product in the short term in response to the increase in its price, without incurring significant additional costs or risks. Even in the absence of demand-side substitution, supply-side substitution may still provide a constraint on the ability of a</w:t>
      </w:r>
      <w:r>
        <w:rPr>
          <w:lang w:val="en-GB"/>
        </w:rPr>
        <w:t>n Entity</w:t>
      </w:r>
      <w:r w:rsidRPr="00B460EE">
        <w:rPr>
          <w:lang w:val="en-GB"/>
        </w:rPr>
        <w:t xml:space="preserve"> to increase its prices.  In other words, supply-side </w:t>
      </w:r>
      <w:r w:rsidRPr="00B460EE">
        <w:rPr>
          <w:lang w:val="en-GB"/>
        </w:rPr>
        <w:lastRenderedPageBreak/>
        <w:t>substitution is relevant to the definition of a market even in the absence of demand-side substitution.  Nevertheless, if a Telecommunication Service or related product is included within the market due to evidence of demand-side substitution then evidence of supply-side substitution would not be required to show that the Telecommunication Service or related product is in the same market.</w:t>
      </w:r>
      <w:bookmarkStart w:id="28" w:name="_Ref259466437"/>
    </w:p>
    <w:p w:rsidR="000F5490" w:rsidRDefault="000F5490" w:rsidP="00BA4A65">
      <w:pPr>
        <w:pStyle w:val="Heading2"/>
        <w:numPr>
          <w:ilvl w:val="1"/>
          <w:numId w:val="33"/>
        </w:numPr>
        <w:spacing w:after="240"/>
        <w:jc w:val="both"/>
        <w:rPr>
          <w:lang w:val="en-GB"/>
        </w:rPr>
      </w:pPr>
      <w:r w:rsidRPr="00B460EE">
        <w:rPr>
          <w:lang w:val="en-GB"/>
        </w:rPr>
        <w:t>In order to determine the nature and extent of demand-side and supply-side substitution, the TRA will undertake quantitative tests and qualitative assessments, depending on the available data and taking account of the resources required for the different types of tests.</w:t>
      </w:r>
    </w:p>
    <w:p w:rsidR="000F5490" w:rsidRPr="00B460EE" w:rsidRDefault="000F5490" w:rsidP="002C314E">
      <w:pPr>
        <w:pStyle w:val="Jheading2"/>
        <w:keepNext/>
        <w:widowControl w:val="0"/>
        <w:suppressAutoHyphens/>
        <w:spacing w:afterLines="100" w:line="260" w:lineRule="atLeast"/>
        <w:ind w:left="1440" w:hanging="720"/>
        <w:jc w:val="both"/>
        <w:outlineLvl w:val="2"/>
      </w:pPr>
      <w:r w:rsidRPr="00B460EE">
        <w:t>SSNIP test</w:t>
      </w:r>
    </w:p>
    <w:p w:rsidR="000F5490" w:rsidRPr="00B460EE" w:rsidRDefault="000F5490" w:rsidP="00BA4A65">
      <w:pPr>
        <w:pStyle w:val="Heading2"/>
        <w:numPr>
          <w:ilvl w:val="1"/>
          <w:numId w:val="33"/>
        </w:numPr>
        <w:spacing w:after="240"/>
        <w:jc w:val="both"/>
        <w:rPr>
          <w:lang w:val="en-GB"/>
        </w:rPr>
      </w:pPr>
      <w:r w:rsidRPr="00B460EE">
        <w:rPr>
          <w:lang w:val="en-GB"/>
        </w:rPr>
        <w:t>The most common approach to quantifying the level of demand-side and supply-side substitution is to apply the small but significant non-transitory increase in price (SSNIP or hypothetical monopolist) test.</w:t>
      </w:r>
      <w:r w:rsidRPr="00B460EE">
        <w:rPr>
          <w:rStyle w:val="FootnoteReference"/>
          <w:lang w:val="en-GB"/>
        </w:rPr>
        <w:footnoteReference w:id="6"/>
      </w:r>
      <w:r w:rsidRPr="00B460EE">
        <w:rPr>
          <w:lang w:val="en-GB"/>
        </w:rPr>
        <w:t xml:space="preserve">  The SSNIP test also provides a framework for undertaking a more qualitative analysis where there is insufficient data or the assumptions underlying the formal SSNIP test do not hold (see Section </w:t>
      </w:r>
      <w:r w:rsidR="004E0E95" w:rsidRPr="00B460EE">
        <w:rPr>
          <w:lang w:val="en-GB"/>
        </w:rPr>
        <w:fldChar w:fldCharType="begin"/>
      </w:r>
      <w:r w:rsidRPr="00B460EE">
        <w:rPr>
          <w:lang w:val="en-GB"/>
        </w:rPr>
        <w:instrText xml:space="preserve"> REF _Ref266794926 \r \h </w:instrText>
      </w:r>
      <w:r w:rsidR="004E0E95" w:rsidRPr="00B460EE">
        <w:rPr>
          <w:lang w:val="en-GB"/>
        </w:rPr>
      </w:r>
      <w:r w:rsidR="004E0E95" w:rsidRPr="00B460EE">
        <w:rPr>
          <w:lang w:val="en-GB"/>
        </w:rPr>
        <w:fldChar w:fldCharType="separate"/>
      </w:r>
      <w:r w:rsidR="00D36817">
        <w:rPr>
          <w:cs/>
          <w:lang w:val="en-GB"/>
        </w:rPr>
        <w:t>‎</w:t>
      </w:r>
      <w:r w:rsidR="00D36817">
        <w:rPr>
          <w:lang w:val="en-GB"/>
        </w:rPr>
        <w:t>8.9</w:t>
      </w:r>
      <w:r w:rsidR="004E0E95" w:rsidRPr="00B460EE">
        <w:rPr>
          <w:lang w:val="en-GB"/>
        </w:rPr>
        <w:fldChar w:fldCharType="end"/>
      </w:r>
      <w:r w:rsidRPr="00B460EE">
        <w:rPr>
          <w:lang w:val="en-GB"/>
        </w:rPr>
        <w:t xml:space="preserve">).  </w:t>
      </w:r>
    </w:p>
    <w:p w:rsidR="000F5490" w:rsidRPr="00B460EE" w:rsidRDefault="000F5490" w:rsidP="006A5665">
      <w:pPr>
        <w:pStyle w:val="Heading2"/>
        <w:numPr>
          <w:ilvl w:val="1"/>
          <w:numId w:val="33"/>
        </w:numPr>
        <w:spacing w:after="240"/>
        <w:jc w:val="both"/>
        <w:rPr>
          <w:lang w:val="en-GB"/>
        </w:rPr>
      </w:pPr>
      <w:r>
        <w:rPr>
          <w:lang w:val="en-GB"/>
        </w:rPr>
        <w:t>T</w:t>
      </w:r>
      <w:r w:rsidRPr="00B460EE">
        <w:rPr>
          <w:lang w:val="en-GB"/>
        </w:rPr>
        <w:t xml:space="preserve">he TRA will </w:t>
      </w:r>
      <w:r>
        <w:rPr>
          <w:lang w:val="en-GB"/>
        </w:rPr>
        <w:t>typically initiate</w:t>
      </w:r>
      <w:r w:rsidRPr="00B460EE">
        <w:rPr>
          <w:lang w:val="en-GB"/>
        </w:rPr>
        <w:t xml:space="preserve"> its </w:t>
      </w:r>
      <w:r>
        <w:rPr>
          <w:lang w:val="en-GB"/>
        </w:rPr>
        <w:t xml:space="preserve">SSNIP test </w:t>
      </w:r>
      <w:r w:rsidRPr="00B460EE">
        <w:rPr>
          <w:lang w:val="en-GB"/>
        </w:rPr>
        <w:t>by considering a narrow range of Telecommunication Services or related products and then expand the definition of the Relevant Market to include all the substitutable Telecommunication Services or related products that are subsequently identified. The methodology for the SSNIP test is illustrated in Figure 2 below.</w:t>
      </w:r>
    </w:p>
    <w:p w:rsidR="00F448FF" w:rsidRDefault="000F5490">
      <w:pPr>
        <w:pStyle w:val="Jheading2"/>
        <w:keepNext/>
        <w:spacing w:afterLines="150"/>
        <w:jc w:val="center"/>
      </w:pPr>
      <w:r w:rsidRPr="00B460EE">
        <w:rPr>
          <w:bCs/>
        </w:rPr>
        <w:lastRenderedPageBreak/>
        <w:t xml:space="preserve">Figure </w:t>
      </w:r>
      <w:fldSimple w:instr=" SEQ Figure \* MERGEFORMAT ">
        <w:r w:rsidR="00D36817" w:rsidRPr="00D36817">
          <w:rPr>
            <w:bCs/>
            <w:noProof/>
          </w:rPr>
          <w:t>2</w:t>
        </w:r>
      </w:fldSimple>
      <w:r w:rsidRPr="00B460EE">
        <w:rPr>
          <w:b w:val="0"/>
        </w:rPr>
        <w:t xml:space="preserve"> </w:t>
      </w:r>
      <w:r w:rsidRPr="00B460EE">
        <w:rPr>
          <w:b w:val="0"/>
          <w:bCs/>
        </w:rPr>
        <w:t>Illustration of the SSNIP test</w:t>
      </w:r>
    </w:p>
    <w:p w:rsidR="000F5490" w:rsidRPr="00B460EE" w:rsidRDefault="00445C13" w:rsidP="00936C93">
      <w:pPr>
        <w:jc w:val="center"/>
        <w:rPr>
          <w:noProof/>
          <w:lang w:eastAsia="en-GB"/>
        </w:rPr>
      </w:pPr>
      <w:r>
        <w:rPr>
          <w:noProof/>
          <w:lang w:eastAsia="en-GB"/>
        </w:rPr>
        <w:pict>
          <v:shape id="Picture 2" o:spid="_x0000_i1026" type="#_x0000_t75" style="width:440.85pt;height:342.35pt;visibility:visible" o:bordertopcolor="black" o:borderleftcolor="black" o:borderbottomcolor="black" o:borderrightcolor="black">
            <v:imagedata r:id="rId9" o:title=""/>
            <w10:bordertop type="single" width="8"/>
            <w10:borderleft type="single" width="8"/>
            <w10:borderbottom type="single" width="8"/>
            <w10:borderright type="single" width="8"/>
          </v:shape>
        </w:pict>
      </w:r>
    </w:p>
    <w:p w:rsidR="000F5490" w:rsidRDefault="000F5490" w:rsidP="00ED392E">
      <w:pPr>
        <w:pStyle w:val="Heading2"/>
        <w:tabs>
          <w:tab w:val="clear" w:pos="360"/>
        </w:tabs>
        <w:spacing w:after="240"/>
        <w:ind w:left="720" w:firstLine="0"/>
        <w:jc w:val="both"/>
        <w:rPr>
          <w:lang w:val="en-GB"/>
        </w:rPr>
      </w:pPr>
    </w:p>
    <w:p w:rsidR="000F5490" w:rsidRPr="00B460EE" w:rsidRDefault="000F5490" w:rsidP="00BA4A65">
      <w:pPr>
        <w:pStyle w:val="Heading2"/>
        <w:numPr>
          <w:ilvl w:val="1"/>
          <w:numId w:val="33"/>
        </w:numPr>
        <w:spacing w:after="240"/>
        <w:jc w:val="both"/>
        <w:rPr>
          <w:lang w:val="en-GB"/>
        </w:rPr>
      </w:pPr>
      <w:r w:rsidRPr="00B460EE">
        <w:rPr>
          <w:lang w:val="en-GB"/>
        </w:rPr>
        <w:t xml:space="preserve">Assessing the extent of possible demand-side and supply-side substitution is key to the market definition exercise. Where there is sufficient data, the TRA will consider whether it can determine quantitatively the extent to which two or more Telecommunication Services or related products are in the same market.  </w:t>
      </w:r>
    </w:p>
    <w:p w:rsidR="00F448FF" w:rsidRDefault="000F5490">
      <w:pPr>
        <w:pStyle w:val="Heading2"/>
        <w:keepNext/>
        <w:widowControl w:val="0"/>
        <w:numPr>
          <w:ilvl w:val="1"/>
          <w:numId w:val="33"/>
        </w:numPr>
        <w:spacing w:afterLines="100" w:line="260" w:lineRule="atLeast"/>
        <w:jc w:val="both"/>
        <w:rPr>
          <w:lang w:val="en-GB"/>
        </w:rPr>
      </w:pPr>
      <w:bookmarkStart w:id="29" w:name="_Ref266794926"/>
      <w:r w:rsidRPr="00B460EE">
        <w:rPr>
          <w:lang w:val="en-GB"/>
        </w:rPr>
        <w:t xml:space="preserve">However, market definition exercises in the telecommunication sector are often not conducted exclusively using quantitative analysis. This is a consequence of the difficulty of accurately estimating quantitatively the degree of substitution between Telecommunication Services or related products due to data and informational limitations. Further, the SSNIP test assumes that prices are set at the competitive level and this may not necessarily be the case in telecommunications markets like those in the UAE where prices are subject to regulatory intervention. Therefore, where necessary, the TRA may rely on qualitative (rather than quantitative) assessments of the </w:t>
      </w:r>
      <w:bookmarkStart w:id="30" w:name="_Ref260398635"/>
      <w:r w:rsidRPr="00B460EE">
        <w:rPr>
          <w:lang w:val="en-GB"/>
        </w:rPr>
        <w:t xml:space="preserve">degree of demand-side and supply-side </w:t>
      </w:r>
      <w:r w:rsidRPr="00B460EE">
        <w:rPr>
          <w:lang w:val="en-GB"/>
        </w:rPr>
        <w:lastRenderedPageBreak/>
        <w:t>substitution.</w:t>
      </w:r>
      <w:bookmarkEnd w:id="29"/>
    </w:p>
    <w:p w:rsidR="00F448FF" w:rsidRDefault="000F5490" w:rsidP="00362091">
      <w:pPr>
        <w:pStyle w:val="Heading2"/>
        <w:keepNext/>
        <w:widowControl w:val="0"/>
        <w:tabs>
          <w:tab w:val="clear" w:pos="360"/>
        </w:tabs>
        <w:spacing w:afterLines="100" w:line="260" w:lineRule="atLeast"/>
        <w:ind w:firstLine="360"/>
        <w:jc w:val="both"/>
        <w:rPr>
          <w:b/>
          <w:bCs/>
          <w:lang w:val="en-GB"/>
        </w:rPr>
      </w:pPr>
      <w:r w:rsidRPr="00B460EE">
        <w:rPr>
          <w:b/>
          <w:bCs/>
          <w:lang w:val="en-GB"/>
        </w:rPr>
        <w:t>Assessment of demand-side substitution</w:t>
      </w:r>
      <w:bookmarkEnd w:id="30"/>
      <w:r w:rsidRPr="00B460EE">
        <w:rPr>
          <w:b/>
          <w:bCs/>
          <w:lang w:val="en-GB"/>
        </w:rPr>
        <w:t xml:space="preserve"> </w:t>
      </w:r>
    </w:p>
    <w:p w:rsidR="000F5490" w:rsidRPr="00B460EE" w:rsidRDefault="000F5490" w:rsidP="00BA4A65">
      <w:pPr>
        <w:pStyle w:val="Heading2"/>
        <w:numPr>
          <w:ilvl w:val="1"/>
          <w:numId w:val="33"/>
        </w:numPr>
        <w:spacing w:after="240"/>
        <w:jc w:val="both"/>
        <w:rPr>
          <w:lang w:val="en-GB"/>
        </w:rPr>
      </w:pPr>
      <w:r w:rsidRPr="00B460EE">
        <w:rPr>
          <w:lang w:val="en-GB"/>
        </w:rPr>
        <w:t>In order to determine the extent to which Telecommunication Services or related products are demand-side substitutes, the TRA will consider their characteristics as well as the ability of consumers to switch to using a different Telecommunication Service or related product. In particular, if it takes consumers an extended period of time to react or if switching costs are high (for example, because of minimum contract duration or the need for new or expensive customer premise</w:t>
      </w:r>
      <w:r w:rsidR="00DB3C6E">
        <w:rPr>
          <w:lang w:val="en-GB"/>
        </w:rPr>
        <w:t>s</w:t>
      </w:r>
      <w:r w:rsidRPr="00B460EE">
        <w:rPr>
          <w:lang w:val="en-GB"/>
        </w:rPr>
        <w:t xml:space="preserve"> equipment) then the level of demand-side substitution will be limited. The TRA would usually consider a one year period as the relevant timeframe in defining the market boundaries for the purpose of assessing demand-side substitutability.  </w:t>
      </w:r>
    </w:p>
    <w:p w:rsidR="000F5490" w:rsidRPr="00B460EE" w:rsidRDefault="000F5490" w:rsidP="00BA4A65">
      <w:pPr>
        <w:pStyle w:val="Heading2"/>
        <w:numPr>
          <w:ilvl w:val="1"/>
          <w:numId w:val="33"/>
        </w:numPr>
        <w:spacing w:after="240"/>
        <w:jc w:val="both"/>
        <w:rPr>
          <w:lang w:val="en-GB"/>
        </w:rPr>
      </w:pPr>
      <w:bookmarkStart w:id="31" w:name="_Ref266802032"/>
      <w:r w:rsidRPr="00B460EE">
        <w:rPr>
          <w:lang w:val="en-GB"/>
        </w:rPr>
        <w:t>For the Telecommunication Services or related products in question</w:t>
      </w:r>
      <w:r w:rsidRPr="00B460EE" w:rsidDel="00340E91">
        <w:rPr>
          <w:lang w:val="en-GB"/>
        </w:rPr>
        <w:t xml:space="preserve"> </w:t>
      </w:r>
      <w:r w:rsidRPr="00B460EE">
        <w:rPr>
          <w:lang w:val="en-GB"/>
        </w:rPr>
        <w:t>an assessment of demand-side substitution would include (but not be limited to) an analysis of:</w:t>
      </w:r>
      <w:bookmarkEnd w:id="31"/>
    </w:p>
    <w:p w:rsidR="000F5490" w:rsidRPr="00B460EE" w:rsidRDefault="000F5490" w:rsidP="003B4E64">
      <w:pPr>
        <w:pStyle w:val="ListParagraph"/>
        <w:numPr>
          <w:ilvl w:val="2"/>
          <w:numId w:val="24"/>
        </w:numPr>
        <w:tabs>
          <w:tab w:val="clear" w:pos="1680"/>
          <w:tab w:val="num" w:pos="2160"/>
        </w:tabs>
        <w:suppressAutoHyphens/>
        <w:spacing w:after="240"/>
        <w:ind w:left="2160" w:hanging="720"/>
        <w:contextualSpacing w:val="0"/>
        <w:jc w:val="both"/>
      </w:pPr>
      <w:r>
        <w:t>h</w:t>
      </w:r>
      <w:r w:rsidRPr="00B460EE">
        <w:t>istoric and forecast trends in the demand (including for example, analysis of trends in the penetration of the Telecommunication Service or related product);</w:t>
      </w:r>
      <w:r w:rsidRPr="00B460EE">
        <w:rPr>
          <w:rStyle w:val="FootnoteReference"/>
        </w:rPr>
        <w:footnoteReference w:id="7"/>
      </w:r>
      <w:r w:rsidRPr="00B460EE">
        <w:t xml:space="preserve"> </w:t>
      </w:r>
    </w:p>
    <w:p w:rsidR="000F5490" w:rsidRPr="00987DD8" w:rsidRDefault="000F5490" w:rsidP="00AA1015">
      <w:pPr>
        <w:pStyle w:val="ListParagraph"/>
        <w:numPr>
          <w:ilvl w:val="2"/>
          <w:numId w:val="24"/>
        </w:numPr>
        <w:tabs>
          <w:tab w:val="clear" w:pos="1680"/>
          <w:tab w:val="num" w:pos="2160"/>
        </w:tabs>
        <w:suppressAutoHyphens/>
        <w:spacing w:after="240"/>
        <w:ind w:left="2160" w:hanging="720"/>
        <w:contextualSpacing w:val="0"/>
        <w:jc w:val="both"/>
      </w:pPr>
      <w:r w:rsidRPr="00987DD8">
        <w:t>relative price levels and the extent to which consumers may choose one Telecommunication Service or related product over another in response to changes in these relative prices levels;</w:t>
      </w:r>
    </w:p>
    <w:p w:rsidR="000F5490" w:rsidRPr="00B460EE" w:rsidRDefault="000F5490" w:rsidP="00340E91">
      <w:pPr>
        <w:pStyle w:val="ListParagraph"/>
        <w:numPr>
          <w:ilvl w:val="2"/>
          <w:numId w:val="24"/>
        </w:numPr>
        <w:tabs>
          <w:tab w:val="clear" w:pos="1680"/>
          <w:tab w:val="num" w:pos="2160"/>
        </w:tabs>
        <w:suppressAutoHyphens/>
        <w:spacing w:after="240"/>
        <w:ind w:left="2160" w:hanging="720"/>
        <w:contextualSpacing w:val="0"/>
        <w:jc w:val="both"/>
      </w:pPr>
      <w:r>
        <w:t>q</w:t>
      </w:r>
      <w:r w:rsidRPr="00B460EE">
        <w:t xml:space="preserve">uality of service levels; </w:t>
      </w:r>
    </w:p>
    <w:p w:rsidR="000F5490" w:rsidRDefault="000F5490" w:rsidP="000D017B">
      <w:pPr>
        <w:pStyle w:val="ListParagraph"/>
        <w:numPr>
          <w:ilvl w:val="2"/>
          <w:numId w:val="24"/>
        </w:numPr>
        <w:tabs>
          <w:tab w:val="clear" w:pos="1680"/>
          <w:tab w:val="num" w:pos="2160"/>
        </w:tabs>
        <w:suppressAutoHyphens/>
        <w:spacing w:after="240"/>
        <w:ind w:left="2160" w:hanging="720"/>
        <w:contextualSpacing w:val="0"/>
        <w:jc w:val="both"/>
      </w:pPr>
      <w:proofErr w:type="gramStart"/>
      <w:r>
        <w:t>the</w:t>
      </w:r>
      <w:proofErr w:type="gramEnd"/>
      <w:r>
        <w:t xml:space="preserve"> e</w:t>
      </w:r>
      <w:r w:rsidRPr="00B460EE">
        <w:t xml:space="preserve">xtent to which </w:t>
      </w:r>
      <w:r>
        <w:t>the relevant</w:t>
      </w:r>
      <w:r w:rsidRPr="00B460EE">
        <w:t xml:space="preserve"> Telecommunication Service or related product is </w:t>
      </w:r>
      <w:r>
        <w:t xml:space="preserve">able to be </w:t>
      </w:r>
      <w:r w:rsidRPr="00B460EE">
        <w:t xml:space="preserve">replicable </w:t>
      </w:r>
      <w:r>
        <w:t>by, or substituted for, another</w:t>
      </w:r>
      <w:r w:rsidRPr="000D017B">
        <w:t xml:space="preserve"> </w:t>
      </w:r>
      <w:r w:rsidRPr="00B460EE">
        <w:t>Telecommunication Service or related product</w:t>
      </w:r>
      <w:r>
        <w:t>. Including:</w:t>
      </w:r>
    </w:p>
    <w:p w:rsidR="000F5490" w:rsidRDefault="000F5490" w:rsidP="00033620">
      <w:pPr>
        <w:pStyle w:val="ListParagraph"/>
        <w:numPr>
          <w:ilvl w:val="3"/>
          <w:numId w:val="38"/>
        </w:numPr>
        <w:tabs>
          <w:tab w:val="clear" w:pos="2880"/>
          <w:tab w:val="num" w:pos="3261"/>
        </w:tabs>
        <w:suppressAutoHyphens/>
        <w:spacing w:after="240"/>
        <w:ind w:left="3261" w:hanging="426"/>
        <w:contextualSpacing w:val="0"/>
        <w:jc w:val="both"/>
      </w:pPr>
      <w:r>
        <w:t xml:space="preserve">the perception of customers, or potential customers, as to the degree of substitutability of the relevant </w:t>
      </w:r>
      <w:r w:rsidRPr="00B460EE">
        <w:t>Telecommunication Service or related product</w:t>
      </w:r>
      <w:r>
        <w:t xml:space="preserve"> with other </w:t>
      </w:r>
      <w:r w:rsidRPr="00B460EE">
        <w:t>Telecommunication Service</w:t>
      </w:r>
      <w:r>
        <w:t>s</w:t>
      </w:r>
      <w:r w:rsidRPr="00B460EE">
        <w:t xml:space="preserve"> or related product</w:t>
      </w:r>
      <w:r>
        <w:t>s;</w:t>
      </w:r>
    </w:p>
    <w:p w:rsidR="000F5490" w:rsidRDefault="000F5490" w:rsidP="000F5490">
      <w:pPr>
        <w:pStyle w:val="ListParagraph"/>
        <w:numPr>
          <w:ilvl w:val="3"/>
          <w:numId w:val="38"/>
        </w:numPr>
        <w:tabs>
          <w:tab w:val="clear" w:pos="2880"/>
          <w:tab w:val="num" w:pos="3261"/>
        </w:tabs>
        <w:suppressAutoHyphens/>
        <w:spacing w:after="240"/>
        <w:ind w:left="3261" w:hanging="426"/>
        <w:contextualSpacing w:val="0"/>
        <w:jc w:val="both"/>
      </w:pPr>
      <w:r>
        <w:t xml:space="preserve">the </w:t>
      </w:r>
      <w:r w:rsidRPr="00B460EE">
        <w:t xml:space="preserve">contract duration </w:t>
      </w:r>
      <w:r>
        <w:t xml:space="preserve">of the </w:t>
      </w:r>
      <w:r w:rsidRPr="00B460EE">
        <w:t xml:space="preserve">Telecommunication Service or related product </w:t>
      </w:r>
      <w:r>
        <w:t xml:space="preserve">(and </w:t>
      </w:r>
      <w:r w:rsidRPr="00B460EE">
        <w:t xml:space="preserve">any </w:t>
      </w:r>
      <w:r>
        <w:t xml:space="preserve">equipment associated with it such as </w:t>
      </w:r>
      <w:r w:rsidRPr="00B460EE">
        <w:t>customer premise equipment</w:t>
      </w:r>
      <w:r>
        <w:t xml:space="preserve">) compared to </w:t>
      </w:r>
      <w:r>
        <w:lastRenderedPageBreak/>
        <w:t xml:space="preserve">the contract duration of other </w:t>
      </w:r>
      <w:r w:rsidRPr="00B460EE">
        <w:t>Telecommunication Service</w:t>
      </w:r>
      <w:r>
        <w:t>s</w:t>
      </w:r>
      <w:r w:rsidRPr="00B460EE">
        <w:t xml:space="preserve"> or related product</w:t>
      </w:r>
      <w:r>
        <w:t>s;</w:t>
      </w:r>
      <w:r w:rsidRPr="00B460EE">
        <w:t xml:space="preserve"> </w:t>
      </w:r>
      <w:r w:rsidR="00987DD8">
        <w:t>and</w:t>
      </w:r>
    </w:p>
    <w:p w:rsidR="002A509E" w:rsidRDefault="000F5490">
      <w:pPr>
        <w:pStyle w:val="ListParagraph"/>
        <w:numPr>
          <w:ilvl w:val="3"/>
          <w:numId w:val="38"/>
        </w:numPr>
        <w:tabs>
          <w:tab w:val="clear" w:pos="2880"/>
          <w:tab w:val="num" w:pos="3261"/>
        </w:tabs>
        <w:suppressAutoHyphens/>
        <w:spacing w:after="240"/>
        <w:ind w:left="3261" w:hanging="426"/>
        <w:contextualSpacing w:val="0"/>
        <w:jc w:val="both"/>
      </w:pPr>
      <w:r>
        <w:t>w</w:t>
      </w:r>
      <w:r w:rsidRPr="00B460EE">
        <w:t xml:space="preserve">hether </w:t>
      </w:r>
      <w:r w:rsidR="00E534B5">
        <w:t>it</w:t>
      </w:r>
      <w:r>
        <w:t xml:space="preserve"> is b</w:t>
      </w:r>
      <w:r w:rsidRPr="00B460EE">
        <w:t xml:space="preserve">undled or tied with other Telecommunication Services or related products; </w:t>
      </w:r>
    </w:p>
    <w:p w:rsidR="000F5490" w:rsidRDefault="000F5490" w:rsidP="000F5490">
      <w:pPr>
        <w:pStyle w:val="ListParagraph"/>
        <w:numPr>
          <w:ilvl w:val="2"/>
          <w:numId w:val="24"/>
        </w:numPr>
        <w:tabs>
          <w:tab w:val="clear" w:pos="1680"/>
          <w:tab w:val="num" w:pos="2160"/>
        </w:tabs>
        <w:suppressAutoHyphens/>
        <w:spacing w:after="240"/>
        <w:ind w:left="2160" w:hanging="720"/>
        <w:contextualSpacing w:val="0"/>
        <w:jc w:val="both"/>
      </w:pPr>
      <w:r>
        <w:t>I</w:t>
      </w:r>
      <w:r w:rsidRPr="00B460EE">
        <w:t xml:space="preserve">mportance of switching costs relative to the value of the Telecommunication Service or related product, including actual costs (such as having to buy new equipment or a contract termination fee) and the inconvenience of switching between </w:t>
      </w:r>
      <w:r w:rsidR="00DB3C6E">
        <w:t xml:space="preserve">suppliers </w:t>
      </w:r>
      <w:r w:rsidRPr="00B460EE">
        <w:t>(such as the time</w:t>
      </w:r>
      <w:r>
        <w:t>/monetary value</w:t>
      </w:r>
      <w:r w:rsidRPr="00B460EE">
        <w:t xml:space="preserve"> taken to </w:t>
      </w:r>
      <w:r>
        <w:t>switch</w:t>
      </w:r>
      <w:r w:rsidRPr="00B460EE">
        <w:t>).</w:t>
      </w:r>
      <w:bookmarkStart w:id="32" w:name="_Ref260398636"/>
    </w:p>
    <w:p w:rsidR="000F5490" w:rsidRPr="00B460EE" w:rsidRDefault="000F5490" w:rsidP="002C314E">
      <w:pPr>
        <w:pStyle w:val="Jheading2"/>
        <w:keepNext/>
        <w:widowControl w:val="0"/>
        <w:suppressAutoHyphens/>
        <w:spacing w:afterLines="100" w:line="260" w:lineRule="atLeast"/>
        <w:ind w:left="1440" w:hanging="720"/>
        <w:jc w:val="both"/>
        <w:outlineLvl w:val="2"/>
      </w:pPr>
      <w:r w:rsidRPr="00B460EE">
        <w:t>Assessment of supply-side substitution</w:t>
      </w:r>
      <w:bookmarkEnd w:id="32"/>
    </w:p>
    <w:p w:rsidR="000F5490" w:rsidRPr="00B460EE" w:rsidRDefault="000F5490" w:rsidP="00BF68C1">
      <w:pPr>
        <w:pStyle w:val="Heading2"/>
        <w:numPr>
          <w:ilvl w:val="1"/>
          <w:numId w:val="33"/>
        </w:numPr>
        <w:spacing w:after="240"/>
        <w:jc w:val="both"/>
        <w:rPr>
          <w:lang w:val="en-GB"/>
        </w:rPr>
      </w:pPr>
      <w:r w:rsidRPr="00B460EE">
        <w:rPr>
          <w:lang w:val="en-GB"/>
        </w:rPr>
        <w:t>Supply-side substitution should only look at the possible substitution from Telecommunication Services or related products which, as a result of the demand-side analysis, have not been defined to form part of the Relevant Market. For example, while consumers may not perceive a long distance call to be a substitute for a local call (and vice versa), it may be possible and profitable for a</w:t>
      </w:r>
      <w:r>
        <w:rPr>
          <w:lang w:val="en-GB"/>
        </w:rPr>
        <w:t xml:space="preserve">n Entity </w:t>
      </w:r>
      <w:r w:rsidR="00E534B5">
        <w:rPr>
          <w:lang w:val="en-GB"/>
        </w:rPr>
        <w:t>which</w:t>
      </w:r>
      <w:r>
        <w:rPr>
          <w:lang w:val="en-GB"/>
        </w:rPr>
        <w:t xml:space="preserve"> provides</w:t>
      </w:r>
      <w:r w:rsidRPr="00B460EE">
        <w:rPr>
          <w:lang w:val="en-GB"/>
        </w:rPr>
        <w:t xml:space="preserve"> long distance calls to provide local calls if the price of local calls increased. If this is the case, it may suggest that local calls and long distance calls form part of the same market.</w:t>
      </w:r>
    </w:p>
    <w:p w:rsidR="000F5490" w:rsidRPr="00B460EE" w:rsidRDefault="000F5490" w:rsidP="00D30EDD">
      <w:pPr>
        <w:pStyle w:val="Heading2"/>
        <w:numPr>
          <w:ilvl w:val="1"/>
          <w:numId w:val="33"/>
        </w:numPr>
        <w:spacing w:after="240"/>
        <w:jc w:val="both"/>
        <w:rPr>
          <w:lang w:val="en-GB"/>
        </w:rPr>
      </w:pPr>
      <w:r w:rsidRPr="00B460EE">
        <w:rPr>
          <w:lang w:val="en-GB"/>
        </w:rPr>
        <w:t xml:space="preserve">In order to determine the extent to which there is supply-side substitution, the TRA will consider whether another Entity (or a new entrant) would be able to switch to the production of the relevant Telecommunication Service or related product in the short term (within one year) in response to an increase in available profits in the Relevant Market. Switching of production may </w:t>
      </w:r>
      <w:r>
        <w:rPr>
          <w:lang w:val="en-GB"/>
        </w:rPr>
        <w:t>occur</w:t>
      </w:r>
      <w:r w:rsidRPr="00B460EE">
        <w:rPr>
          <w:lang w:val="en-GB"/>
        </w:rPr>
        <w:t xml:space="preserve"> </w:t>
      </w:r>
      <w:r w:rsidR="00DB3C6E">
        <w:rPr>
          <w:lang w:val="en-GB"/>
        </w:rPr>
        <w:t>through</w:t>
      </w:r>
      <w:r w:rsidR="00DB3C6E" w:rsidRPr="00B460EE">
        <w:rPr>
          <w:lang w:val="en-GB"/>
        </w:rPr>
        <w:t xml:space="preserve"> </w:t>
      </w:r>
      <w:r w:rsidRPr="00B460EE">
        <w:rPr>
          <w:lang w:val="en-GB"/>
        </w:rPr>
        <w:t xml:space="preserve">redeployment of existing capacity or from expansion of production, both of which </w:t>
      </w:r>
      <w:r w:rsidR="00DB3C6E">
        <w:rPr>
          <w:lang w:val="en-GB"/>
        </w:rPr>
        <w:t>could</w:t>
      </w:r>
      <w:r w:rsidR="00DB3C6E" w:rsidRPr="00B460EE">
        <w:rPr>
          <w:lang w:val="en-GB"/>
        </w:rPr>
        <w:t xml:space="preserve"> </w:t>
      </w:r>
      <w:r w:rsidRPr="00B460EE">
        <w:rPr>
          <w:lang w:val="en-GB"/>
        </w:rPr>
        <w:t>involve small levels of investment. If it takes an Entity (or a new entrant) a long time to react (typically more than one year) or if they would incur significant sunk costs</w:t>
      </w:r>
      <w:r w:rsidRPr="00B460EE">
        <w:rPr>
          <w:rStyle w:val="FootnoteReference"/>
          <w:lang w:val="en-GB"/>
        </w:rPr>
        <w:footnoteReference w:id="8"/>
      </w:r>
      <w:r w:rsidRPr="00B460EE">
        <w:rPr>
          <w:lang w:val="en-GB"/>
        </w:rPr>
        <w:t xml:space="preserve"> relative to the return they would be able to earn, then the Entity (or a new entrant) would be less willing to switch production and there would be limited supply-side substitution.   </w:t>
      </w:r>
    </w:p>
    <w:p w:rsidR="000F5490" w:rsidRPr="00B460EE" w:rsidRDefault="000F5490" w:rsidP="00BA4A65">
      <w:pPr>
        <w:pStyle w:val="Heading2"/>
        <w:numPr>
          <w:ilvl w:val="1"/>
          <w:numId w:val="33"/>
        </w:numPr>
        <w:spacing w:after="240"/>
        <w:jc w:val="both"/>
        <w:rPr>
          <w:lang w:val="en-GB"/>
        </w:rPr>
      </w:pPr>
      <w:bookmarkStart w:id="33" w:name="_Ref261855225"/>
      <w:r w:rsidRPr="00B460EE">
        <w:rPr>
          <w:lang w:val="en-GB"/>
        </w:rPr>
        <w:t>Relevant information to assess the extent of supply-side substitution would include (but not be limited to):</w:t>
      </w:r>
      <w:bookmarkEnd w:id="33"/>
    </w:p>
    <w:p w:rsidR="000F5490" w:rsidRPr="00B460EE" w:rsidRDefault="00DB3C6E" w:rsidP="007F32D6">
      <w:pPr>
        <w:pStyle w:val="ListParagraph"/>
        <w:numPr>
          <w:ilvl w:val="2"/>
          <w:numId w:val="24"/>
        </w:numPr>
        <w:tabs>
          <w:tab w:val="clear" w:pos="1680"/>
          <w:tab w:val="num" w:pos="2160"/>
        </w:tabs>
        <w:suppressAutoHyphens/>
        <w:spacing w:after="240"/>
        <w:ind w:left="2160" w:hanging="720"/>
        <w:contextualSpacing w:val="0"/>
        <w:jc w:val="both"/>
      </w:pPr>
      <w:r>
        <w:t>h</w:t>
      </w:r>
      <w:r w:rsidR="000F5490" w:rsidRPr="00B460EE">
        <w:t>istoric evidence of entry into the market by a new entrant;</w:t>
      </w:r>
    </w:p>
    <w:p w:rsidR="000F5490" w:rsidRPr="00B460EE" w:rsidRDefault="00DB3C6E" w:rsidP="00DC52CD">
      <w:pPr>
        <w:pStyle w:val="ListParagraph"/>
        <w:numPr>
          <w:ilvl w:val="2"/>
          <w:numId w:val="24"/>
        </w:numPr>
        <w:tabs>
          <w:tab w:val="clear" w:pos="1680"/>
          <w:tab w:val="num" w:pos="2160"/>
        </w:tabs>
        <w:suppressAutoHyphens/>
        <w:spacing w:after="240"/>
        <w:ind w:left="2160" w:hanging="720"/>
        <w:contextualSpacing w:val="0"/>
        <w:jc w:val="both"/>
      </w:pPr>
      <w:r>
        <w:lastRenderedPageBreak/>
        <w:t>i</w:t>
      </w:r>
      <w:r w:rsidR="000F5490" w:rsidRPr="00B460EE">
        <w:t>nformation from existing Entities or potential new entrants on their ability to switch production, the likely costs and the time it would take; and</w:t>
      </w:r>
    </w:p>
    <w:p w:rsidR="000F5490" w:rsidRDefault="00DB3C6E" w:rsidP="00DC52CD">
      <w:pPr>
        <w:pStyle w:val="ListParagraph"/>
        <w:numPr>
          <w:ilvl w:val="2"/>
          <w:numId w:val="24"/>
        </w:numPr>
        <w:tabs>
          <w:tab w:val="clear" w:pos="1680"/>
          <w:tab w:val="num" w:pos="2160"/>
        </w:tabs>
        <w:suppressAutoHyphens/>
        <w:spacing w:after="240"/>
        <w:ind w:left="2160" w:hanging="720"/>
        <w:contextualSpacing w:val="0"/>
        <w:jc w:val="both"/>
      </w:pPr>
      <w:proofErr w:type="gramStart"/>
      <w:r>
        <w:t>e</w:t>
      </w:r>
      <w:r w:rsidR="000F5490" w:rsidRPr="00B460EE">
        <w:t>vidence</w:t>
      </w:r>
      <w:proofErr w:type="gramEnd"/>
      <w:r w:rsidR="000F5490" w:rsidRPr="00B460EE">
        <w:t xml:space="preserve"> of existing Entities having spare capacity.</w:t>
      </w:r>
      <w:bookmarkStart w:id="34" w:name="_Ref260389846"/>
      <w:bookmarkStart w:id="35" w:name="_Toc260737131"/>
      <w:bookmarkStart w:id="36" w:name="_Toc260738235"/>
      <w:bookmarkStart w:id="37" w:name="_Toc260738736"/>
      <w:bookmarkStart w:id="38" w:name="_Ref261527895"/>
      <w:bookmarkStart w:id="39" w:name="_Toc261602976"/>
    </w:p>
    <w:p w:rsidR="000F5490" w:rsidRPr="00B460EE" w:rsidRDefault="000F5490" w:rsidP="002C314E">
      <w:pPr>
        <w:pStyle w:val="Jheading2"/>
        <w:keepNext/>
        <w:widowControl w:val="0"/>
        <w:suppressAutoHyphens/>
        <w:spacing w:afterLines="100" w:line="260" w:lineRule="atLeast"/>
        <w:ind w:left="1440" w:hanging="720"/>
        <w:jc w:val="both"/>
        <w:outlineLvl w:val="2"/>
      </w:pPr>
      <w:r w:rsidRPr="00B460EE">
        <w:t>Relevant dimensions</w:t>
      </w:r>
      <w:bookmarkEnd w:id="28"/>
      <w:bookmarkEnd w:id="34"/>
      <w:bookmarkEnd w:id="35"/>
      <w:bookmarkEnd w:id="36"/>
      <w:bookmarkEnd w:id="37"/>
      <w:r w:rsidRPr="00B460EE">
        <w:t xml:space="preserve"> of market definition</w:t>
      </w:r>
      <w:bookmarkEnd w:id="38"/>
      <w:bookmarkEnd w:id="39"/>
    </w:p>
    <w:p w:rsidR="000F5490" w:rsidRPr="00B460EE" w:rsidRDefault="000F5490" w:rsidP="00BA4A65">
      <w:pPr>
        <w:pStyle w:val="Heading2"/>
        <w:numPr>
          <w:ilvl w:val="1"/>
          <w:numId w:val="33"/>
        </w:numPr>
        <w:spacing w:after="240"/>
        <w:jc w:val="both"/>
        <w:rPr>
          <w:lang w:val="en-GB"/>
        </w:rPr>
      </w:pPr>
      <w:bookmarkStart w:id="40" w:name="_Ref261855420"/>
      <w:r w:rsidRPr="00B460EE">
        <w:rPr>
          <w:lang w:val="en-GB"/>
        </w:rPr>
        <w:t xml:space="preserve">When defining a Relevant Market for the purposes of a competition assessment, the TRA will take into account the </w:t>
      </w:r>
      <w:r w:rsidR="00B74FB6">
        <w:rPr>
          <w:lang w:val="en-GB"/>
        </w:rPr>
        <w:t>factors</w:t>
      </w:r>
      <w:r w:rsidR="00B74FB6" w:rsidRPr="00B460EE">
        <w:rPr>
          <w:lang w:val="en-GB"/>
        </w:rPr>
        <w:t xml:space="preserve"> </w:t>
      </w:r>
      <w:r w:rsidRPr="00B460EE">
        <w:rPr>
          <w:lang w:val="en-GB"/>
        </w:rPr>
        <w:t>set out and described</w:t>
      </w:r>
      <w:r w:rsidR="00B74FB6">
        <w:rPr>
          <w:lang w:val="en-GB"/>
        </w:rPr>
        <w:t xml:space="preserve"> in the following sub-sections:</w:t>
      </w:r>
      <w:bookmarkEnd w:id="40"/>
    </w:p>
    <w:p w:rsidR="00F448FF" w:rsidRDefault="000F5490">
      <w:pPr>
        <w:pStyle w:val="Heading3"/>
        <w:numPr>
          <w:ilvl w:val="2"/>
          <w:numId w:val="33"/>
        </w:numPr>
        <w:suppressAutoHyphens/>
        <w:spacing w:afterLines="100"/>
        <w:ind w:left="2274"/>
        <w:rPr>
          <w:b w:val="0"/>
          <w:sz w:val="24"/>
          <w:szCs w:val="24"/>
        </w:rPr>
      </w:pPr>
      <w:r w:rsidRPr="00B460EE">
        <w:rPr>
          <w:sz w:val="24"/>
          <w:szCs w:val="24"/>
        </w:rPr>
        <w:t>Product market definition</w:t>
      </w:r>
    </w:p>
    <w:p w:rsidR="00F448FF" w:rsidRDefault="000F5490">
      <w:pPr>
        <w:pStyle w:val="Heading3"/>
        <w:keepNext w:val="0"/>
        <w:tabs>
          <w:tab w:val="clear" w:pos="2280"/>
        </w:tabs>
        <w:suppressAutoHyphens/>
        <w:spacing w:afterLines="100"/>
        <w:ind w:left="2275" w:firstLine="0"/>
        <w:rPr>
          <w:b w:val="0"/>
          <w:sz w:val="24"/>
          <w:szCs w:val="24"/>
        </w:rPr>
      </w:pPr>
      <w:r w:rsidRPr="00B460EE">
        <w:rPr>
          <w:b w:val="0"/>
          <w:sz w:val="24"/>
          <w:szCs w:val="24"/>
        </w:rPr>
        <w:t xml:space="preserve">The relevant product market consists of all the Telecommunication Services or related products which consumers regard as interchangeable or substitutable </w:t>
      </w:r>
      <w:r w:rsidR="00B74FB6">
        <w:rPr>
          <w:b w:val="0"/>
          <w:sz w:val="24"/>
          <w:szCs w:val="24"/>
        </w:rPr>
        <w:t xml:space="preserve">for one another </w:t>
      </w:r>
      <w:r w:rsidRPr="00B460EE">
        <w:rPr>
          <w:b w:val="0"/>
          <w:sz w:val="24"/>
          <w:szCs w:val="24"/>
        </w:rPr>
        <w:t>because of, among other factors, the Telecommunication Services’ or related products’ characteristics, prices and intended use.  Even though Telecommunication Services or related products may be technically similar, if they are not perceived by consumers as being substitutes then unless there is supply-side substitution, they may not form part of the same market.</w:t>
      </w:r>
    </w:p>
    <w:p w:rsidR="00F448FF" w:rsidRDefault="000F5490">
      <w:pPr>
        <w:pStyle w:val="Heading3"/>
        <w:numPr>
          <w:ilvl w:val="2"/>
          <w:numId w:val="33"/>
        </w:numPr>
        <w:suppressAutoHyphens/>
        <w:spacing w:afterLines="100"/>
        <w:ind w:left="2274"/>
        <w:rPr>
          <w:b w:val="0"/>
          <w:sz w:val="24"/>
          <w:szCs w:val="24"/>
        </w:rPr>
      </w:pPr>
      <w:r w:rsidRPr="00B460EE">
        <w:rPr>
          <w:sz w:val="24"/>
          <w:szCs w:val="24"/>
        </w:rPr>
        <w:t>Functional level of the market</w:t>
      </w:r>
    </w:p>
    <w:p w:rsidR="00F448FF" w:rsidRDefault="000F5490">
      <w:pPr>
        <w:pStyle w:val="Heading3"/>
        <w:keepNext w:val="0"/>
        <w:tabs>
          <w:tab w:val="clear" w:pos="2280"/>
        </w:tabs>
        <w:suppressAutoHyphens/>
        <w:spacing w:afterLines="100"/>
        <w:ind w:left="2275" w:firstLine="0"/>
        <w:rPr>
          <w:b w:val="0"/>
          <w:sz w:val="24"/>
          <w:szCs w:val="24"/>
        </w:rPr>
      </w:pPr>
      <w:r w:rsidRPr="00B460EE">
        <w:rPr>
          <w:b w:val="0"/>
          <w:sz w:val="24"/>
          <w:szCs w:val="24"/>
        </w:rPr>
        <w:t xml:space="preserve">The functional level of the market refers to whether the Telecommunication Services or related products are sold to wholesale or retail customers. Market characteristics will typically differ </w:t>
      </w:r>
      <w:r>
        <w:rPr>
          <w:b w:val="0"/>
          <w:sz w:val="24"/>
          <w:szCs w:val="24"/>
        </w:rPr>
        <w:t>along</w:t>
      </w:r>
      <w:r w:rsidRPr="00B460EE">
        <w:rPr>
          <w:b w:val="0"/>
          <w:sz w:val="24"/>
          <w:szCs w:val="24"/>
        </w:rPr>
        <w:t xml:space="preserve"> the supply chain in the telecommunication sector. This is because both the level of investment required to enter and compete as well as the nature of investment differs (for example, network investment would typically be expected to be </w:t>
      </w:r>
      <w:r w:rsidR="00B74FB6">
        <w:rPr>
          <w:b w:val="0"/>
          <w:sz w:val="24"/>
          <w:szCs w:val="24"/>
        </w:rPr>
        <w:t>a</w:t>
      </w:r>
      <w:r w:rsidR="00B74FB6" w:rsidRPr="00B460EE">
        <w:rPr>
          <w:b w:val="0"/>
          <w:sz w:val="24"/>
          <w:szCs w:val="24"/>
        </w:rPr>
        <w:t xml:space="preserve"> </w:t>
      </w:r>
      <w:r w:rsidRPr="00B460EE">
        <w:rPr>
          <w:b w:val="0"/>
          <w:sz w:val="24"/>
          <w:szCs w:val="24"/>
        </w:rPr>
        <w:t xml:space="preserve">sunk </w:t>
      </w:r>
      <w:r w:rsidR="00B74FB6">
        <w:rPr>
          <w:b w:val="0"/>
          <w:sz w:val="24"/>
          <w:szCs w:val="24"/>
        </w:rPr>
        <w:t>cost</w:t>
      </w:r>
      <w:r w:rsidRPr="00B460EE">
        <w:rPr>
          <w:b w:val="0"/>
          <w:sz w:val="24"/>
          <w:szCs w:val="24"/>
        </w:rPr>
        <w:t xml:space="preserve">). Substitution possibilities in downstream parts of the supply chain may have an impact on behaviour in upstream parts. The relationship between retail and wholesale markets is described in further detail in </w:t>
      </w:r>
      <w:r w:rsidRPr="003A52B3">
        <w:rPr>
          <w:b w:val="0"/>
          <w:sz w:val="24"/>
          <w:szCs w:val="24"/>
        </w:rPr>
        <w:t xml:space="preserve">Sections </w:t>
      </w:r>
      <w:r w:rsidR="004E0E95" w:rsidRPr="003A52B3">
        <w:rPr>
          <w:b w:val="0"/>
          <w:bCs w:val="0"/>
          <w:sz w:val="24"/>
          <w:szCs w:val="24"/>
        </w:rPr>
        <w:fldChar w:fldCharType="begin"/>
      </w:r>
      <w:r w:rsidR="00F448FF" w:rsidRPr="003A52B3">
        <w:rPr>
          <w:b w:val="0"/>
          <w:bCs w:val="0"/>
          <w:sz w:val="24"/>
          <w:szCs w:val="24"/>
        </w:rPr>
        <w:instrText xml:space="preserve"> REF _Ref261855055 \r \h  \* MERGEFORMAT </w:instrText>
      </w:r>
      <w:r w:rsidR="004E0E95" w:rsidRPr="003A52B3">
        <w:rPr>
          <w:b w:val="0"/>
          <w:bCs w:val="0"/>
          <w:sz w:val="24"/>
          <w:szCs w:val="24"/>
        </w:rPr>
      </w:r>
      <w:r w:rsidR="004E0E95" w:rsidRPr="003A52B3">
        <w:rPr>
          <w:b w:val="0"/>
          <w:bCs w:val="0"/>
          <w:sz w:val="24"/>
          <w:szCs w:val="24"/>
        </w:rPr>
        <w:fldChar w:fldCharType="separate"/>
      </w:r>
      <w:r w:rsidR="00D36817" w:rsidRPr="003A52B3">
        <w:rPr>
          <w:b w:val="0"/>
          <w:bCs w:val="0"/>
          <w:sz w:val="24"/>
          <w:szCs w:val="24"/>
          <w:cs/>
        </w:rPr>
        <w:t>‎</w:t>
      </w:r>
      <w:r w:rsidR="00D36817" w:rsidRPr="003A52B3">
        <w:rPr>
          <w:b w:val="0"/>
          <w:bCs w:val="0"/>
          <w:sz w:val="24"/>
          <w:szCs w:val="24"/>
        </w:rPr>
        <w:t>8.16</w:t>
      </w:r>
      <w:r w:rsidR="004E0E95" w:rsidRPr="003A52B3">
        <w:rPr>
          <w:b w:val="0"/>
          <w:bCs w:val="0"/>
          <w:sz w:val="24"/>
          <w:szCs w:val="24"/>
        </w:rPr>
        <w:fldChar w:fldCharType="end"/>
      </w:r>
      <w:r w:rsidRPr="003A52B3">
        <w:rPr>
          <w:b w:val="0"/>
          <w:bCs w:val="0"/>
          <w:sz w:val="24"/>
          <w:szCs w:val="24"/>
        </w:rPr>
        <w:t xml:space="preserve"> and </w:t>
      </w:r>
      <w:r w:rsidR="004E0E95" w:rsidRPr="003A52B3">
        <w:rPr>
          <w:b w:val="0"/>
          <w:bCs w:val="0"/>
          <w:sz w:val="24"/>
          <w:szCs w:val="24"/>
        </w:rPr>
        <w:fldChar w:fldCharType="begin"/>
      </w:r>
      <w:r w:rsidR="00F448FF" w:rsidRPr="003A52B3">
        <w:rPr>
          <w:b w:val="0"/>
          <w:bCs w:val="0"/>
          <w:sz w:val="24"/>
          <w:szCs w:val="24"/>
        </w:rPr>
        <w:instrText xml:space="preserve"> REF _Ref261855057 \r \h  \* MERGEFORMAT </w:instrText>
      </w:r>
      <w:r w:rsidR="004E0E95" w:rsidRPr="003A52B3">
        <w:rPr>
          <w:b w:val="0"/>
          <w:bCs w:val="0"/>
          <w:sz w:val="24"/>
          <w:szCs w:val="24"/>
        </w:rPr>
      </w:r>
      <w:r w:rsidR="004E0E95" w:rsidRPr="003A52B3">
        <w:rPr>
          <w:b w:val="0"/>
          <w:bCs w:val="0"/>
          <w:sz w:val="24"/>
          <w:szCs w:val="24"/>
        </w:rPr>
        <w:fldChar w:fldCharType="separate"/>
      </w:r>
      <w:r w:rsidR="00D36817" w:rsidRPr="003A52B3">
        <w:rPr>
          <w:b w:val="0"/>
          <w:bCs w:val="0"/>
          <w:sz w:val="24"/>
          <w:szCs w:val="24"/>
          <w:cs/>
        </w:rPr>
        <w:t>‎</w:t>
      </w:r>
      <w:r w:rsidR="00D36817" w:rsidRPr="003A52B3">
        <w:rPr>
          <w:b w:val="0"/>
          <w:bCs w:val="0"/>
          <w:sz w:val="24"/>
          <w:szCs w:val="24"/>
        </w:rPr>
        <w:t>8.17</w:t>
      </w:r>
      <w:r w:rsidR="004E0E95" w:rsidRPr="003A52B3">
        <w:rPr>
          <w:b w:val="0"/>
          <w:bCs w:val="0"/>
          <w:sz w:val="24"/>
          <w:szCs w:val="24"/>
        </w:rPr>
        <w:fldChar w:fldCharType="end"/>
      </w:r>
      <w:r w:rsidRPr="00B460EE">
        <w:rPr>
          <w:b w:val="0"/>
          <w:bCs w:val="0"/>
          <w:sz w:val="24"/>
          <w:szCs w:val="24"/>
        </w:rPr>
        <w:t>.</w:t>
      </w:r>
    </w:p>
    <w:p w:rsidR="00F448FF" w:rsidRDefault="000F5490">
      <w:pPr>
        <w:pStyle w:val="Heading3"/>
        <w:numPr>
          <w:ilvl w:val="2"/>
          <w:numId w:val="33"/>
        </w:numPr>
        <w:suppressAutoHyphens/>
        <w:spacing w:afterLines="100"/>
        <w:ind w:left="2274"/>
        <w:rPr>
          <w:sz w:val="24"/>
          <w:szCs w:val="24"/>
        </w:rPr>
      </w:pPr>
      <w:bookmarkStart w:id="41" w:name="_Ref271797345"/>
      <w:r w:rsidRPr="00B460EE">
        <w:rPr>
          <w:sz w:val="24"/>
          <w:szCs w:val="24"/>
        </w:rPr>
        <w:t>Geographic market definition</w:t>
      </w:r>
      <w:bookmarkEnd w:id="41"/>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 xml:space="preserve">Geographic dimensions define the extent to which competitive conditions and constraints are significantly different across geographic areas. Defining geographic markets may be important because individual Entities could hold Market Power in a particular geographic area (even where that area is relatively </w:t>
      </w:r>
      <w:r w:rsidRPr="00B460EE">
        <w:rPr>
          <w:b w:val="0"/>
          <w:bCs w:val="0"/>
          <w:sz w:val="24"/>
          <w:szCs w:val="24"/>
        </w:rPr>
        <w:lastRenderedPageBreak/>
        <w:t xml:space="preserve">small), but </w:t>
      </w:r>
      <w:r w:rsidR="005B3509">
        <w:rPr>
          <w:b w:val="0"/>
          <w:bCs w:val="0"/>
          <w:sz w:val="24"/>
          <w:szCs w:val="24"/>
        </w:rPr>
        <w:t xml:space="preserve">may </w:t>
      </w:r>
      <w:r w:rsidRPr="00B460EE">
        <w:rPr>
          <w:b w:val="0"/>
          <w:bCs w:val="0"/>
          <w:sz w:val="24"/>
          <w:szCs w:val="24"/>
        </w:rPr>
        <w:t xml:space="preserve">not </w:t>
      </w:r>
      <w:r w:rsidR="005B3509">
        <w:rPr>
          <w:b w:val="0"/>
          <w:bCs w:val="0"/>
          <w:sz w:val="24"/>
          <w:szCs w:val="24"/>
        </w:rPr>
        <w:t>do so where</w:t>
      </w:r>
      <w:r w:rsidR="005B3509" w:rsidRPr="00B460EE">
        <w:rPr>
          <w:b w:val="0"/>
          <w:bCs w:val="0"/>
          <w:sz w:val="24"/>
          <w:szCs w:val="24"/>
        </w:rPr>
        <w:t xml:space="preserve"> </w:t>
      </w:r>
      <w:r w:rsidRPr="00B460EE">
        <w:rPr>
          <w:b w:val="0"/>
          <w:bCs w:val="0"/>
          <w:sz w:val="24"/>
          <w:szCs w:val="24"/>
        </w:rPr>
        <w:t xml:space="preserve">the UAE </w:t>
      </w:r>
      <w:r w:rsidR="005B3509">
        <w:rPr>
          <w:b w:val="0"/>
          <w:bCs w:val="0"/>
          <w:sz w:val="24"/>
          <w:szCs w:val="24"/>
        </w:rPr>
        <w:t xml:space="preserve">is regarded </w:t>
      </w:r>
      <w:r w:rsidRPr="00B460EE">
        <w:rPr>
          <w:b w:val="0"/>
          <w:bCs w:val="0"/>
          <w:sz w:val="24"/>
          <w:szCs w:val="24"/>
        </w:rPr>
        <w:t xml:space="preserve">as a whole. For example, </w:t>
      </w:r>
      <w:r>
        <w:rPr>
          <w:b w:val="0"/>
          <w:bCs w:val="0"/>
          <w:sz w:val="24"/>
          <w:szCs w:val="24"/>
        </w:rPr>
        <w:t>no or poor</w:t>
      </w:r>
      <w:r w:rsidRPr="00B460EE">
        <w:rPr>
          <w:b w:val="0"/>
          <w:bCs w:val="0"/>
          <w:sz w:val="24"/>
          <w:szCs w:val="24"/>
        </w:rPr>
        <w:t xml:space="preserve"> network coverage</w:t>
      </w:r>
      <w:r>
        <w:rPr>
          <w:b w:val="0"/>
          <w:bCs w:val="0"/>
          <w:sz w:val="24"/>
          <w:szCs w:val="24"/>
        </w:rPr>
        <w:t xml:space="preserve"> within a specified geographical area will limit</w:t>
      </w:r>
      <w:r w:rsidRPr="00B460EE">
        <w:rPr>
          <w:b w:val="0"/>
          <w:bCs w:val="0"/>
          <w:sz w:val="24"/>
          <w:szCs w:val="24"/>
        </w:rPr>
        <w:t xml:space="preserve"> the extent to which a consumer is able to </w:t>
      </w:r>
      <w:r w:rsidR="005B3509">
        <w:rPr>
          <w:b w:val="0"/>
          <w:bCs w:val="0"/>
          <w:sz w:val="24"/>
          <w:szCs w:val="24"/>
        </w:rPr>
        <w:t>switch</w:t>
      </w:r>
      <w:r w:rsidR="005B3509" w:rsidRPr="00B460EE">
        <w:rPr>
          <w:b w:val="0"/>
          <w:bCs w:val="0"/>
          <w:sz w:val="24"/>
          <w:szCs w:val="24"/>
        </w:rPr>
        <w:t xml:space="preserve"> </w:t>
      </w:r>
      <w:r w:rsidRPr="00B460EE">
        <w:rPr>
          <w:b w:val="0"/>
          <w:bCs w:val="0"/>
          <w:sz w:val="24"/>
          <w:szCs w:val="24"/>
        </w:rPr>
        <w:t xml:space="preserve">between Telecommunication Services or related products provided by different Entities. Alternatively, an Entity may only provide a Telecommunication Service or related product on a certain </w:t>
      </w:r>
      <w:r>
        <w:rPr>
          <w:b w:val="0"/>
          <w:bCs w:val="0"/>
          <w:sz w:val="24"/>
          <w:szCs w:val="24"/>
        </w:rPr>
        <w:t xml:space="preserve">call </w:t>
      </w:r>
      <w:r w:rsidRPr="00B460EE">
        <w:rPr>
          <w:b w:val="0"/>
          <w:bCs w:val="0"/>
          <w:sz w:val="24"/>
          <w:szCs w:val="24"/>
        </w:rPr>
        <w:t>route. Further, supply side substitution may be limited by Telecommunications Licenses</w:t>
      </w:r>
      <w:r>
        <w:rPr>
          <w:b w:val="0"/>
          <w:bCs w:val="0"/>
          <w:sz w:val="24"/>
          <w:szCs w:val="24"/>
        </w:rPr>
        <w:t xml:space="preserve"> or other barriers to entry such as</w:t>
      </w:r>
      <w:r w:rsidRPr="00EF1D63">
        <w:rPr>
          <w:b w:val="0"/>
          <w:bCs w:val="0"/>
          <w:sz w:val="24"/>
          <w:szCs w:val="24"/>
        </w:rPr>
        <w:t xml:space="preserve"> </w:t>
      </w:r>
      <w:r>
        <w:rPr>
          <w:b w:val="0"/>
          <w:bCs w:val="0"/>
          <w:sz w:val="24"/>
          <w:szCs w:val="24"/>
        </w:rPr>
        <w:t xml:space="preserve">exclusive legal, contractual or other types of arrangements </w:t>
      </w:r>
      <w:r w:rsidR="005B3509">
        <w:rPr>
          <w:b w:val="0"/>
          <w:bCs w:val="0"/>
          <w:sz w:val="24"/>
          <w:szCs w:val="24"/>
        </w:rPr>
        <w:t xml:space="preserve">which limit </w:t>
      </w:r>
      <w:r>
        <w:rPr>
          <w:b w:val="0"/>
          <w:bCs w:val="0"/>
          <w:sz w:val="24"/>
          <w:szCs w:val="24"/>
        </w:rPr>
        <w:t xml:space="preserve">access </w:t>
      </w:r>
      <w:r w:rsidR="00E534B5">
        <w:rPr>
          <w:b w:val="0"/>
          <w:bCs w:val="0"/>
          <w:sz w:val="24"/>
          <w:szCs w:val="24"/>
        </w:rPr>
        <w:t>by</w:t>
      </w:r>
      <w:r>
        <w:rPr>
          <w:b w:val="0"/>
          <w:bCs w:val="0"/>
          <w:sz w:val="24"/>
          <w:szCs w:val="24"/>
        </w:rPr>
        <w:t xml:space="preserve"> competing Entities </w:t>
      </w:r>
      <w:r w:rsidR="005B3509">
        <w:rPr>
          <w:b w:val="0"/>
          <w:bCs w:val="0"/>
          <w:sz w:val="24"/>
          <w:szCs w:val="24"/>
        </w:rPr>
        <w:t xml:space="preserve">to </w:t>
      </w:r>
      <w:r>
        <w:rPr>
          <w:b w:val="0"/>
          <w:bCs w:val="0"/>
          <w:sz w:val="24"/>
          <w:szCs w:val="24"/>
        </w:rPr>
        <w:t>a d</w:t>
      </w:r>
      <w:r w:rsidRPr="00B460EE">
        <w:rPr>
          <w:b w:val="0"/>
          <w:bCs w:val="0"/>
          <w:sz w:val="24"/>
          <w:szCs w:val="24"/>
        </w:rPr>
        <w:t>efined geographic</w:t>
      </w:r>
      <w:r>
        <w:rPr>
          <w:b w:val="0"/>
          <w:bCs w:val="0"/>
          <w:sz w:val="24"/>
          <w:szCs w:val="24"/>
        </w:rPr>
        <w:t>al</w:t>
      </w:r>
      <w:r w:rsidRPr="00B460EE">
        <w:rPr>
          <w:b w:val="0"/>
          <w:bCs w:val="0"/>
          <w:sz w:val="24"/>
          <w:szCs w:val="24"/>
        </w:rPr>
        <w:t xml:space="preserve"> </w:t>
      </w:r>
      <w:r>
        <w:rPr>
          <w:b w:val="0"/>
          <w:bCs w:val="0"/>
          <w:sz w:val="24"/>
          <w:szCs w:val="24"/>
        </w:rPr>
        <w:t>area</w:t>
      </w:r>
      <w:r w:rsidRPr="00B460EE">
        <w:rPr>
          <w:b w:val="0"/>
          <w:bCs w:val="0"/>
          <w:sz w:val="24"/>
          <w:szCs w:val="24"/>
        </w:rPr>
        <w:t>.</w:t>
      </w:r>
      <w:r w:rsidRPr="00B460EE">
        <w:rPr>
          <w:rStyle w:val="FootnoteReference"/>
          <w:b w:val="0"/>
          <w:bCs w:val="0"/>
          <w:sz w:val="24"/>
          <w:szCs w:val="24"/>
        </w:rPr>
        <w:footnoteReference w:id="9"/>
      </w:r>
      <w:r w:rsidRPr="00B460EE">
        <w:rPr>
          <w:b w:val="0"/>
          <w:bCs w:val="0"/>
          <w:sz w:val="24"/>
          <w:szCs w:val="24"/>
        </w:rPr>
        <w:t xml:space="preserve">  </w:t>
      </w:r>
    </w:p>
    <w:p w:rsidR="00F448FF" w:rsidRDefault="000F5490" w:rsidP="003A52B3">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 xml:space="preserve">In determining whether a market should be defined on a more </w:t>
      </w:r>
      <w:r>
        <w:rPr>
          <w:b w:val="0"/>
          <w:bCs w:val="0"/>
          <w:sz w:val="24"/>
          <w:szCs w:val="24"/>
        </w:rPr>
        <w:t>narrow</w:t>
      </w:r>
      <w:r w:rsidRPr="00B460EE">
        <w:rPr>
          <w:b w:val="0"/>
          <w:bCs w:val="0"/>
          <w:sz w:val="24"/>
          <w:szCs w:val="24"/>
        </w:rPr>
        <w:t xml:space="preserve"> basis than a national market, the TRA will consider the extent to which demand-side and supply-side substitutability differ by geographic area based on the factors set out in Sections </w:t>
      </w:r>
      <w:r w:rsidR="004E0E95" w:rsidRPr="003A52B3">
        <w:rPr>
          <w:b w:val="0"/>
          <w:bCs w:val="0"/>
          <w:sz w:val="24"/>
          <w:szCs w:val="24"/>
        </w:rPr>
        <w:fldChar w:fldCharType="begin"/>
      </w:r>
      <w:r w:rsidR="00F448FF" w:rsidRPr="003A52B3">
        <w:rPr>
          <w:b w:val="0"/>
          <w:bCs w:val="0"/>
          <w:sz w:val="24"/>
          <w:szCs w:val="24"/>
        </w:rPr>
        <w:instrText xml:space="preserve"> REF _Ref261855287 \r \h  \* MERGEFORMAT </w:instrText>
      </w:r>
      <w:r w:rsidR="004E0E95" w:rsidRPr="003A52B3">
        <w:rPr>
          <w:b w:val="0"/>
          <w:bCs w:val="0"/>
          <w:sz w:val="24"/>
          <w:szCs w:val="24"/>
        </w:rPr>
      </w:r>
      <w:r w:rsidR="004E0E95" w:rsidRPr="003A52B3">
        <w:rPr>
          <w:b w:val="0"/>
          <w:bCs w:val="0"/>
          <w:sz w:val="24"/>
          <w:szCs w:val="24"/>
        </w:rPr>
        <w:fldChar w:fldCharType="separate"/>
      </w:r>
      <w:r w:rsidR="00D36817" w:rsidRPr="003A52B3">
        <w:rPr>
          <w:b w:val="0"/>
          <w:bCs w:val="0"/>
          <w:sz w:val="24"/>
          <w:szCs w:val="24"/>
          <w:cs/>
        </w:rPr>
        <w:t>‎</w:t>
      </w:r>
      <w:r w:rsidR="00D36817" w:rsidRPr="003A52B3">
        <w:rPr>
          <w:b w:val="0"/>
          <w:bCs w:val="0"/>
          <w:sz w:val="24"/>
          <w:szCs w:val="24"/>
        </w:rPr>
        <w:t>8.1</w:t>
      </w:r>
      <w:r w:rsidR="004E0E95" w:rsidRPr="003A52B3">
        <w:rPr>
          <w:b w:val="0"/>
          <w:bCs w:val="0"/>
          <w:sz w:val="24"/>
          <w:szCs w:val="24"/>
        </w:rPr>
        <w:fldChar w:fldCharType="end"/>
      </w:r>
      <w:r w:rsidR="003A52B3" w:rsidRPr="003A52B3">
        <w:rPr>
          <w:b w:val="0"/>
          <w:bCs w:val="0"/>
          <w:sz w:val="24"/>
          <w:szCs w:val="24"/>
        </w:rPr>
        <w:t>0</w:t>
      </w:r>
      <w:r w:rsidRPr="003A52B3">
        <w:rPr>
          <w:b w:val="0"/>
          <w:bCs w:val="0"/>
          <w:sz w:val="24"/>
          <w:szCs w:val="24"/>
        </w:rPr>
        <w:t xml:space="preserve"> to </w:t>
      </w:r>
      <w:r w:rsidR="004E0E95" w:rsidRPr="003A52B3">
        <w:rPr>
          <w:b w:val="0"/>
          <w:bCs w:val="0"/>
          <w:sz w:val="24"/>
          <w:szCs w:val="24"/>
        </w:rPr>
        <w:fldChar w:fldCharType="begin"/>
      </w:r>
      <w:r w:rsidR="00F448FF" w:rsidRPr="003A52B3">
        <w:rPr>
          <w:b w:val="0"/>
          <w:bCs w:val="0"/>
          <w:sz w:val="24"/>
          <w:szCs w:val="24"/>
        </w:rPr>
        <w:instrText xml:space="preserve"> REF _Ref261855225 \r \h  \* MERGEFORMAT </w:instrText>
      </w:r>
      <w:r w:rsidR="004E0E95" w:rsidRPr="003A52B3">
        <w:rPr>
          <w:b w:val="0"/>
          <w:bCs w:val="0"/>
          <w:sz w:val="24"/>
          <w:szCs w:val="24"/>
        </w:rPr>
      </w:r>
      <w:r w:rsidR="004E0E95" w:rsidRPr="003A52B3">
        <w:rPr>
          <w:b w:val="0"/>
          <w:bCs w:val="0"/>
          <w:sz w:val="24"/>
          <w:szCs w:val="24"/>
        </w:rPr>
        <w:fldChar w:fldCharType="separate"/>
      </w:r>
      <w:r w:rsidR="00D36817" w:rsidRPr="003A52B3">
        <w:rPr>
          <w:b w:val="0"/>
          <w:bCs w:val="0"/>
          <w:sz w:val="24"/>
          <w:szCs w:val="24"/>
          <w:cs/>
        </w:rPr>
        <w:t>‎</w:t>
      </w:r>
      <w:r w:rsidR="00D36817" w:rsidRPr="003A52B3">
        <w:rPr>
          <w:b w:val="0"/>
          <w:bCs w:val="0"/>
          <w:sz w:val="24"/>
          <w:szCs w:val="24"/>
        </w:rPr>
        <w:t>8.14</w:t>
      </w:r>
      <w:r w:rsidR="004E0E95" w:rsidRPr="003A52B3">
        <w:rPr>
          <w:b w:val="0"/>
          <w:bCs w:val="0"/>
          <w:sz w:val="24"/>
          <w:szCs w:val="24"/>
        </w:rPr>
        <w:fldChar w:fldCharType="end"/>
      </w:r>
      <w:r w:rsidRPr="00B460EE">
        <w:rPr>
          <w:b w:val="0"/>
          <w:bCs w:val="0"/>
          <w:sz w:val="24"/>
          <w:szCs w:val="24"/>
        </w:rPr>
        <w:t xml:space="preserve">. Other factors the TRA will also consider include (but </w:t>
      </w:r>
      <w:r w:rsidR="00987DD8">
        <w:rPr>
          <w:b w:val="0"/>
          <w:bCs w:val="0"/>
          <w:sz w:val="24"/>
          <w:szCs w:val="24"/>
        </w:rPr>
        <w:t xml:space="preserve">are </w:t>
      </w:r>
      <w:r w:rsidRPr="00B460EE">
        <w:rPr>
          <w:b w:val="0"/>
          <w:bCs w:val="0"/>
          <w:sz w:val="24"/>
          <w:szCs w:val="24"/>
        </w:rPr>
        <w:t>not limited to):</w:t>
      </w:r>
    </w:p>
    <w:p w:rsidR="000F5490" w:rsidRPr="00B460EE" w:rsidRDefault="005B3509" w:rsidP="00016B0E">
      <w:pPr>
        <w:pStyle w:val="ListParagraph"/>
        <w:numPr>
          <w:ilvl w:val="3"/>
          <w:numId w:val="24"/>
        </w:numPr>
        <w:suppressAutoHyphens/>
        <w:spacing w:after="240"/>
        <w:contextualSpacing w:val="0"/>
        <w:jc w:val="both"/>
      </w:pPr>
      <w:r>
        <w:t>the e</w:t>
      </w:r>
      <w:r w:rsidRPr="00B460EE">
        <w:t xml:space="preserve">xtent </w:t>
      </w:r>
      <w:r w:rsidR="000F5490" w:rsidRPr="00B460EE">
        <w:t>to which pricing differs between geographic regions and how it would differ in the absence of regulatory obligations to price on a national basis;</w:t>
      </w:r>
    </w:p>
    <w:p w:rsidR="000F5490" w:rsidRPr="00B460EE" w:rsidRDefault="005B3509" w:rsidP="00EF1D63">
      <w:pPr>
        <w:pStyle w:val="ListParagraph"/>
        <w:numPr>
          <w:ilvl w:val="3"/>
          <w:numId w:val="24"/>
        </w:numPr>
        <w:suppressAutoHyphens/>
        <w:spacing w:after="240"/>
        <w:contextualSpacing w:val="0"/>
        <w:jc w:val="both"/>
      </w:pPr>
      <w:r>
        <w:t>the a</w:t>
      </w:r>
      <w:r w:rsidRPr="00B460EE">
        <w:t xml:space="preserve">vailability </w:t>
      </w:r>
      <w:r w:rsidR="000F5490" w:rsidRPr="00B460EE">
        <w:t xml:space="preserve">of different Telecommunication Services or related products in different geographic regions; </w:t>
      </w:r>
    </w:p>
    <w:p w:rsidR="000F5490" w:rsidRDefault="005B3509">
      <w:pPr>
        <w:pStyle w:val="ListParagraph"/>
        <w:numPr>
          <w:ilvl w:val="3"/>
          <w:numId w:val="24"/>
        </w:numPr>
        <w:suppressAutoHyphens/>
        <w:spacing w:after="240"/>
        <w:contextualSpacing w:val="0"/>
        <w:jc w:val="both"/>
      </w:pPr>
      <w:r>
        <w:t>the n</w:t>
      </w:r>
      <w:r w:rsidRPr="00B460EE">
        <w:t xml:space="preserve">umber </w:t>
      </w:r>
      <w:r w:rsidR="000F5490" w:rsidRPr="00B460EE">
        <w:t>of Entities providing the relevant Telecommunication Service or related product in each region</w:t>
      </w:r>
      <w:r w:rsidR="000F5490">
        <w:t xml:space="preserve">; </w:t>
      </w:r>
      <w:r w:rsidR="000F5490" w:rsidRPr="00EF1D63">
        <w:t xml:space="preserve"> </w:t>
      </w:r>
      <w:r w:rsidR="000F5490">
        <w:t>a</w:t>
      </w:r>
      <w:r w:rsidR="000F5490" w:rsidRPr="00B460EE">
        <w:t>nd</w:t>
      </w:r>
    </w:p>
    <w:p w:rsidR="000F5490" w:rsidRDefault="005B3509">
      <w:pPr>
        <w:pStyle w:val="ListParagraph"/>
        <w:numPr>
          <w:ilvl w:val="3"/>
          <w:numId w:val="24"/>
        </w:numPr>
        <w:suppressAutoHyphens/>
        <w:spacing w:after="240"/>
        <w:contextualSpacing w:val="0"/>
        <w:jc w:val="both"/>
      </w:pPr>
      <w:r>
        <w:t xml:space="preserve">the barriers </w:t>
      </w:r>
      <w:r w:rsidR="000F5490">
        <w:t>to entry arising from e</w:t>
      </w:r>
      <w:r w:rsidR="000F5490" w:rsidRPr="005521A7">
        <w:t>xclusive legal</w:t>
      </w:r>
      <w:r w:rsidR="000F5490">
        <w:t xml:space="preserve">, </w:t>
      </w:r>
      <w:r w:rsidR="000F5490" w:rsidRPr="005521A7">
        <w:t xml:space="preserve">contractual or other </w:t>
      </w:r>
      <w:r w:rsidR="000F5490">
        <w:t xml:space="preserve">types of arrangements between a land developer, </w:t>
      </w:r>
      <w:proofErr w:type="spellStart"/>
      <w:r w:rsidR="000F5490">
        <w:t>lessor</w:t>
      </w:r>
      <w:proofErr w:type="spellEnd"/>
      <w:r w:rsidR="000F5490">
        <w:t xml:space="preserve">, lesser, tenant in or manager of multi-tenant commercial or residential premises and an Entity, or unilateral action taken by one of the former, the effect of which is that only that Entity has access to those premises for the purposes </w:t>
      </w:r>
      <w:r>
        <w:t xml:space="preserve">of </w:t>
      </w:r>
      <w:r w:rsidR="000F5490">
        <w:t xml:space="preserve">providing </w:t>
      </w:r>
      <w:r w:rsidR="000F5490" w:rsidRPr="00B460EE">
        <w:t>Telecommunication Services or related products</w:t>
      </w:r>
      <w:r w:rsidR="000F5490">
        <w:t xml:space="preserve"> to </w:t>
      </w:r>
      <w:r w:rsidR="007E4180">
        <w:t>customers within</w:t>
      </w:r>
      <w:r w:rsidR="000F5490">
        <w:t xml:space="preserve"> those premises. </w:t>
      </w:r>
      <w:r w:rsidR="000F5490" w:rsidRPr="004E09AE">
        <w:t xml:space="preserve"> </w:t>
      </w:r>
    </w:p>
    <w:p w:rsidR="00F448FF" w:rsidRDefault="000F5490">
      <w:pPr>
        <w:pStyle w:val="Heading3"/>
        <w:numPr>
          <w:ilvl w:val="2"/>
          <w:numId w:val="33"/>
        </w:numPr>
        <w:suppressAutoHyphens/>
        <w:spacing w:afterLines="100"/>
        <w:ind w:left="2274"/>
        <w:rPr>
          <w:sz w:val="24"/>
          <w:szCs w:val="24"/>
        </w:rPr>
      </w:pPr>
      <w:r w:rsidRPr="00B460EE">
        <w:rPr>
          <w:sz w:val="24"/>
          <w:szCs w:val="24"/>
        </w:rPr>
        <w:lastRenderedPageBreak/>
        <w:t>Customer type</w:t>
      </w:r>
    </w:p>
    <w:p w:rsidR="00F448FF" w:rsidRDefault="000F5490">
      <w:pPr>
        <w:pStyle w:val="Heading3"/>
        <w:keepNext w:val="0"/>
        <w:tabs>
          <w:tab w:val="clear" w:pos="2280"/>
        </w:tabs>
        <w:suppressAutoHyphens/>
        <w:spacing w:afterLines="100"/>
        <w:ind w:left="2275" w:firstLine="0"/>
        <w:rPr>
          <w:sz w:val="24"/>
          <w:szCs w:val="24"/>
        </w:rPr>
      </w:pPr>
      <w:r w:rsidRPr="00B460EE">
        <w:rPr>
          <w:b w:val="0"/>
          <w:bCs w:val="0"/>
          <w:sz w:val="24"/>
          <w:szCs w:val="24"/>
        </w:rPr>
        <w:t>The degree of demand-side and supply-side substitution (and therefore the extent of any competitive constraints) may vary between different customer segments. For example business customers may have different demand characteristics to residential customers and prepaid subscribers may have different demand characteristics to post-paid subscribers. A Telecommunication Service or related product for a business customer could be in a separate market</w:t>
      </w:r>
      <w:r w:rsidR="005B3509">
        <w:rPr>
          <w:b w:val="0"/>
          <w:bCs w:val="0"/>
          <w:sz w:val="24"/>
          <w:szCs w:val="24"/>
        </w:rPr>
        <w:t>,</w:t>
      </w:r>
      <w:r w:rsidRPr="00B460EE">
        <w:rPr>
          <w:b w:val="0"/>
          <w:bCs w:val="0"/>
          <w:sz w:val="24"/>
          <w:szCs w:val="24"/>
        </w:rPr>
        <w:t xml:space="preserve"> </w:t>
      </w:r>
      <w:r w:rsidR="005B3509">
        <w:rPr>
          <w:b w:val="0"/>
          <w:bCs w:val="0"/>
          <w:sz w:val="24"/>
          <w:szCs w:val="24"/>
        </w:rPr>
        <w:t xml:space="preserve">from that market which addresses the demands of residential customers, </w:t>
      </w:r>
      <w:r w:rsidRPr="00B460EE">
        <w:rPr>
          <w:b w:val="0"/>
          <w:bCs w:val="0"/>
          <w:sz w:val="24"/>
          <w:szCs w:val="24"/>
        </w:rPr>
        <w:t xml:space="preserve">if a residential customer cannot switch to the Telecommunication Service </w:t>
      </w:r>
      <w:r w:rsidR="005B3509">
        <w:rPr>
          <w:b w:val="0"/>
          <w:bCs w:val="0"/>
          <w:sz w:val="24"/>
          <w:szCs w:val="24"/>
        </w:rPr>
        <w:t xml:space="preserve">offered to business customers </w:t>
      </w:r>
      <w:r w:rsidRPr="00B460EE">
        <w:rPr>
          <w:b w:val="0"/>
          <w:bCs w:val="0"/>
          <w:sz w:val="24"/>
          <w:szCs w:val="24"/>
        </w:rPr>
        <w:t>or if the supplier of the business Telecommunications Service could not switch to providing the service to the residential customer within a reasonable timeframe.</w:t>
      </w:r>
    </w:p>
    <w:p w:rsidR="00F448FF" w:rsidRDefault="000F5490">
      <w:pPr>
        <w:pStyle w:val="Heading3"/>
        <w:numPr>
          <w:ilvl w:val="2"/>
          <w:numId w:val="33"/>
        </w:numPr>
        <w:suppressAutoHyphens/>
        <w:spacing w:afterLines="100"/>
        <w:ind w:left="2274"/>
        <w:rPr>
          <w:sz w:val="24"/>
          <w:szCs w:val="24"/>
        </w:rPr>
      </w:pPr>
      <w:r w:rsidRPr="00B460EE">
        <w:rPr>
          <w:sz w:val="24"/>
          <w:szCs w:val="24"/>
        </w:rPr>
        <w:t>Temporal scope</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The definition of a market may change over time as demand-side and supply-side substitution develops as a result of the changing industry environment (for example, new technological developments, the introduction of new regulatory obligations and changing customer requirements).</w:t>
      </w:r>
      <w:bookmarkStart w:id="42" w:name="_Ref261533207"/>
    </w:p>
    <w:p w:rsidR="00F448FF" w:rsidRDefault="000F5490">
      <w:pPr>
        <w:pStyle w:val="Heading3"/>
        <w:numPr>
          <w:ilvl w:val="2"/>
          <w:numId w:val="33"/>
        </w:numPr>
        <w:suppressAutoHyphens/>
        <w:spacing w:afterLines="100"/>
        <w:ind w:left="2274"/>
        <w:rPr>
          <w:sz w:val="24"/>
          <w:szCs w:val="24"/>
        </w:rPr>
      </w:pPr>
      <w:r w:rsidRPr="00B460EE">
        <w:rPr>
          <w:sz w:val="24"/>
          <w:szCs w:val="24"/>
        </w:rPr>
        <w:t>Bundling and tying</w:t>
      </w:r>
      <w:bookmarkEnd w:id="42"/>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 xml:space="preserve">Bundling refers to the practice of selling more than one Telecommunication Service or related product at a discount as compared to purchasing those Telecommunication Services or related products separately. Tying refers to the practice of making the sale of one Telecommunication Service or related product conditional on the purchase of another Telecommunication Service or related product. If Telecommunication Services or related products are sold together in a bundle then it is possible that even though the individual Telecommunication Services or related products within the bundle may not be substitutes, the bundle itself could be considered a Telecommunication Service or related product in its own right for the purposes of defining the market. In </w:t>
      </w:r>
      <w:r w:rsidR="00A82302">
        <w:rPr>
          <w:b w:val="0"/>
          <w:bCs w:val="0"/>
          <w:sz w:val="24"/>
          <w:szCs w:val="24"/>
        </w:rPr>
        <w:t>such circumstances</w:t>
      </w:r>
      <w:r w:rsidRPr="00B460EE">
        <w:rPr>
          <w:b w:val="0"/>
          <w:bCs w:val="0"/>
          <w:sz w:val="24"/>
          <w:szCs w:val="24"/>
        </w:rPr>
        <w:t xml:space="preserve">, the market definition exercise may take account of both the demand-side and supply-side characteristics of the bundle and its component Telecommunication Services or related products. </w:t>
      </w:r>
    </w:p>
    <w:p w:rsidR="000F5490" w:rsidRPr="00B460EE" w:rsidRDefault="000F5490" w:rsidP="002C314E">
      <w:pPr>
        <w:pStyle w:val="Jheading2"/>
        <w:keepNext/>
        <w:widowControl w:val="0"/>
        <w:suppressAutoHyphens/>
        <w:spacing w:afterLines="100" w:line="260" w:lineRule="atLeast"/>
        <w:ind w:left="1440" w:hanging="720"/>
        <w:jc w:val="both"/>
        <w:outlineLvl w:val="2"/>
      </w:pPr>
      <w:bookmarkStart w:id="43" w:name="_Toc261535278"/>
      <w:bookmarkStart w:id="44" w:name="_Toc261536422"/>
      <w:bookmarkStart w:id="45" w:name="_Ref259526660"/>
      <w:bookmarkStart w:id="46" w:name="_Toc260737132"/>
      <w:bookmarkStart w:id="47" w:name="_Toc260738236"/>
      <w:bookmarkStart w:id="48" w:name="_Toc260738737"/>
      <w:bookmarkStart w:id="49" w:name="_Toc261602977"/>
      <w:bookmarkEnd w:id="43"/>
      <w:bookmarkEnd w:id="44"/>
      <w:r w:rsidRPr="00B460EE">
        <w:lastRenderedPageBreak/>
        <w:t>Relationship between retail and wholesale markets</w:t>
      </w:r>
      <w:bookmarkEnd w:id="45"/>
      <w:bookmarkEnd w:id="46"/>
      <w:bookmarkEnd w:id="47"/>
      <w:bookmarkEnd w:id="48"/>
      <w:bookmarkEnd w:id="49"/>
    </w:p>
    <w:p w:rsidR="000F5490" w:rsidRDefault="000F5490" w:rsidP="009D2193">
      <w:pPr>
        <w:pStyle w:val="Heading2"/>
        <w:numPr>
          <w:ilvl w:val="1"/>
          <w:numId w:val="33"/>
        </w:numPr>
        <w:spacing w:after="240"/>
        <w:jc w:val="both"/>
        <w:rPr>
          <w:lang w:val="en-GB"/>
        </w:rPr>
      </w:pPr>
      <w:bookmarkStart w:id="50" w:name="_Ref261855055"/>
      <w:r w:rsidRPr="00B460EE">
        <w:rPr>
          <w:lang w:val="en-GB"/>
        </w:rPr>
        <w:t xml:space="preserve">When defining markets it is important to consider the different functional level of both wholesale and retail markets and to understand the link between them. </w:t>
      </w:r>
      <w:r>
        <w:rPr>
          <w:lang w:val="en-GB"/>
        </w:rPr>
        <w:t xml:space="preserve">Logically, retail markets are defined first, with wholesale markets defined in relation to these retail markets. </w:t>
      </w:r>
      <w:r w:rsidRPr="00D36517">
        <w:rPr>
          <w:lang w:val="en-GB"/>
        </w:rPr>
        <w:t xml:space="preserve">This is because </w:t>
      </w:r>
      <w:r>
        <w:rPr>
          <w:lang w:val="en-GB"/>
        </w:rPr>
        <w:t xml:space="preserve">the </w:t>
      </w:r>
      <w:r w:rsidRPr="00D36517">
        <w:rPr>
          <w:lang w:val="en-GB"/>
        </w:rPr>
        <w:t xml:space="preserve">demand for </w:t>
      </w:r>
      <w:r>
        <w:rPr>
          <w:lang w:val="en-GB"/>
        </w:rPr>
        <w:t xml:space="preserve">a </w:t>
      </w:r>
      <w:r w:rsidRPr="00D36517">
        <w:rPr>
          <w:lang w:val="en-GB"/>
        </w:rPr>
        <w:t xml:space="preserve">wholesale </w:t>
      </w:r>
      <w:r>
        <w:rPr>
          <w:lang w:val="en-GB"/>
        </w:rPr>
        <w:t>input</w:t>
      </w:r>
      <w:r w:rsidRPr="00D36517">
        <w:rPr>
          <w:lang w:val="en-GB"/>
        </w:rPr>
        <w:t xml:space="preserve"> is derived from </w:t>
      </w:r>
      <w:r>
        <w:rPr>
          <w:lang w:val="en-GB"/>
        </w:rPr>
        <w:t xml:space="preserve">the </w:t>
      </w:r>
      <w:r w:rsidRPr="00D36517">
        <w:rPr>
          <w:lang w:val="en-GB"/>
        </w:rPr>
        <w:t xml:space="preserve">demand for </w:t>
      </w:r>
      <w:r>
        <w:rPr>
          <w:lang w:val="en-GB"/>
        </w:rPr>
        <w:t xml:space="preserve">a </w:t>
      </w:r>
      <w:r w:rsidR="00A82302">
        <w:rPr>
          <w:lang w:val="en-GB"/>
        </w:rPr>
        <w:t xml:space="preserve">retail </w:t>
      </w:r>
      <w:r>
        <w:rPr>
          <w:lang w:val="en-GB"/>
        </w:rPr>
        <w:t>Telecommunication Service and related product</w:t>
      </w:r>
      <w:r w:rsidRPr="00D36517">
        <w:rPr>
          <w:lang w:val="en-GB"/>
        </w:rPr>
        <w:t xml:space="preserve"> </w:t>
      </w:r>
      <w:r>
        <w:rPr>
          <w:lang w:val="en-GB"/>
        </w:rPr>
        <w:t xml:space="preserve">which it supports. </w:t>
      </w:r>
      <w:r w:rsidRPr="00B460EE">
        <w:rPr>
          <w:lang w:val="en-GB"/>
        </w:rPr>
        <w:t>The</w:t>
      </w:r>
      <w:r>
        <w:rPr>
          <w:lang w:val="en-GB"/>
        </w:rPr>
        <w:t>refore, the</w:t>
      </w:r>
      <w:r w:rsidRPr="00B460EE">
        <w:rPr>
          <w:lang w:val="en-GB"/>
        </w:rPr>
        <w:t xml:space="preserve"> definition of a retail market is likely to affect the assessment of whether Market Power in a related wholesale market exists, since the relevant wholesale market will generally be as broad as the demand-side substitutes in the </w:t>
      </w:r>
      <w:proofErr w:type="gramStart"/>
      <w:r>
        <w:rPr>
          <w:lang w:val="en-GB"/>
        </w:rPr>
        <w:t>R</w:t>
      </w:r>
      <w:r w:rsidRPr="00B460EE">
        <w:rPr>
          <w:lang w:val="en-GB"/>
        </w:rPr>
        <w:t>elevant</w:t>
      </w:r>
      <w:proofErr w:type="gramEnd"/>
      <w:r w:rsidRPr="00B460EE">
        <w:rPr>
          <w:lang w:val="en-GB"/>
        </w:rPr>
        <w:t xml:space="preserve"> retail </w:t>
      </w:r>
      <w:r>
        <w:rPr>
          <w:lang w:val="en-GB"/>
        </w:rPr>
        <w:t>M</w:t>
      </w:r>
      <w:r w:rsidRPr="00B460EE">
        <w:rPr>
          <w:lang w:val="en-GB"/>
        </w:rPr>
        <w:t>arket</w:t>
      </w:r>
      <w:r>
        <w:rPr>
          <w:rStyle w:val="FootnoteReference"/>
          <w:lang w:val="en-GB"/>
        </w:rPr>
        <w:footnoteReference w:id="10"/>
      </w:r>
      <w:r w:rsidR="00A82302">
        <w:rPr>
          <w:lang w:val="en-GB"/>
        </w:rPr>
        <w:t xml:space="preserve"> servicing retail customers</w:t>
      </w:r>
      <w:r w:rsidRPr="00B460EE">
        <w:rPr>
          <w:lang w:val="en-GB"/>
        </w:rPr>
        <w:t xml:space="preserve">. </w:t>
      </w:r>
    </w:p>
    <w:p w:rsidR="000F5490" w:rsidRDefault="000F5490">
      <w:pPr>
        <w:pStyle w:val="Heading2"/>
        <w:numPr>
          <w:ilvl w:val="1"/>
          <w:numId w:val="33"/>
        </w:numPr>
        <w:spacing w:after="240"/>
        <w:jc w:val="both"/>
        <w:rPr>
          <w:lang w:val="en-GB"/>
        </w:rPr>
      </w:pPr>
      <w:bookmarkStart w:id="51" w:name="_Ref261855057"/>
      <w:bookmarkEnd w:id="50"/>
      <w:r>
        <w:rPr>
          <w:lang w:val="en-GB"/>
        </w:rPr>
        <w:t xml:space="preserve">Specifically, when defining a Relevant retail Market for an </w:t>
      </w:r>
      <w:r w:rsidR="008D759B" w:rsidRPr="008D759B">
        <w:rPr>
          <w:i/>
          <w:lang w:val="en-GB"/>
        </w:rPr>
        <w:t>ex post</w:t>
      </w:r>
      <w:r>
        <w:rPr>
          <w:lang w:val="en-GB"/>
        </w:rPr>
        <w:t xml:space="preserve"> competition investigation, the TRA will adopt a static approach by taking into account the impact of existing remedies imposed in related wholesale markets on the </w:t>
      </w:r>
      <w:r w:rsidR="00F14C89">
        <w:rPr>
          <w:lang w:val="en-GB"/>
        </w:rPr>
        <w:t xml:space="preserve">level of </w:t>
      </w:r>
      <w:r>
        <w:rPr>
          <w:lang w:val="en-GB"/>
        </w:rPr>
        <w:t xml:space="preserve">competition in the Relevant retail Market (for example, availability of </w:t>
      </w:r>
      <w:proofErr w:type="spellStart"/>
      <w:r>
        <w:rPr>
          <w:lang w:val="en-GB"/>
        </w:rPr>
        <w:t>bitstream</w:t>
      </w:r>
      <w:proofErr w:type="spellEnd"/>
      <w:r>
        <w:rPr>
          <w:lang w:val="en-GB"/>
        </w:rPr>
        <w:t xml:space="preserve"> access, or unbundled local loop).  This is because the </w:t>
      </w:r>
      <w:r w:rsidR="008D759B" w:rsidRPr="008D759B">
        <w:rPr>
          <w:i/>
          <w:lang w:val="en-GB"/>
        </w:rPr>
        <w:t>ex post</w:t>
      </w:r>
      <w:r>
        <w:rPr>
          <w:lang w:val="en-GB"/>
        </w:rPr>
        <w:t xml:space="preserve"> market definition and competition assessment investigations should reflect the actual competitive constraints facing the Entity with Market Power in the period covered by the investigation.</w:t>
      </w:r>
      <w:bookmarkEnd w:id="51"/>
      <w:r w:rsidRPr="0048635D">
        <w:rPr>
          <w:lang w:val="en-GB"/>
        </w:rPr>
        <w:t xml:space="preserve"> </w:t>
      </w:r>
    </w:p>
    <w:p w:rsidR="000F5490" w:rsidRDefault="000F5490">
      <w:pPr>
        <w:pStyle w:val="Heading2"/>
        <w:numPr>
          <w:ilvl w:val="1"/>
          <w:numId w:val="33"/>
        </w:numPr>
        <w:spacing w:after="240"/>
        <w:jc w:val="both"/>
        <w:rPr>
          <w:lang w:val="en-GB"/>
        </w:rPr>
      </w:pPr>
      <w:r>
        <w:rPr>
          <w:lang w:val="en-GB"/>
        </w:rPr>
        <w:t>In contrast, when</w:t>
      </w:r>
      <w:r w:rsidRPr="00B460EE">
        <w:rPr>
          <w:lang w:val="en-GB"/>
        </w:rPr>
        <w:t xml:space="preserve"> defining </w:t>
      </w:r>
      <w:r>
        <w:rPr>
          <w:lang w:val="en-GB"/>
        </w:rPr>
        <w:t>a Relevant retail M</w:t>
      </w:r>
      <w:r w:rsidRPr="00B460EE">
        <w:rPr>
          <w:lang w:val="en-GB"/>
        </w:rPr>
        <w:t xml:space="preserve">arket </w:t>
      </w:r>
      <w:r>
        <w:rPr>
          <w:lang w:val="en-GB"/>
        </w:rPr>
        <w:t>for</w:t>
      </w:r>
      <w:r w:rsidRPr="00B460EE">
        <w:rPr>
          <w:lang w:val="en-GB"/>
        </w:rPr>
        <w:t xml:space="preserve"> </w:t>
      </w:r>
      <w:r>
        <w:rPr>
          <w:lang w:val="en-GB"/>
        </w:rPr>
        <w:t xml:space="preserve">an </w:t>
      </w:r>
      <w:r w:rsidR="008D759B" w:rsidRPr="008D759B">
        <w:rPr>
          <w:i/>
          <w:lang w:val="en-GB"/>
        </w:rPr>
        <w:t>ex ante</w:t>
      </w:r>
      <w:r w:rsidRPr="00B460EE">
        <w:rPr>
          <w:lang w:val="en-GB"/>
        </w:rPr>
        <w:t xml:space="preserve"> </w:t>
      </w:r>
      <w:r>
        <w:rPr>
          <w:lang w:val="en-GB"/>
        </w:rPr>
        <w:t xml:space="preserve">market review, </w:t>
      </w:r>
      <w:r w:rsidRPr="00B460EE">
        <w:rPr>
          <w:lang w:val="en-GB"/>
        </w:rPr>
        <w:t xml:space="preserve">the TRA will </w:t>
      </w:r>
      <w:r>
        <w:rPr>
          <w:lang w:val="en-GB"/>
        </w:rPr>
        <w:t xml:space="preserve">adopt a dynamic approach by </w:t>
      </w:r>
      <w:r w:rsidRPr="00B460EE">
        <w:rPr>
          <w:lang w:val="en-GB"/>
        </w:rPr>
        <w:t>exclud</w:t>
      </w:r>
      <w:r>
        <w:rPr>
          <w:lang w:val="en-GB"/>
        </w:rPr>
        <w:t>ing</w:t>
      </w:r>
      <w:r w:rsidRPr="00B460EE">
        <w:rPr>
          <w:lang w:val="en-GB"/>
        </w:rPr>
        <w:t xml:space="preserve"> from the </w:t>
      </w:r>
      <w:r>
        <w:rPr>
          <w:lang w:val="en-GB"/>
        </w:rPr>
        <w:t>definition process</w:t>
      </w:r>
      <w:r w:rsidRPr="00B460EE">
        <w:rPr>
          <w:lang w:val="en-GB"/>
        </w:rPr>
        <w:t xml:space="preserve"> </w:t>
      </w:r>
      <w:r>
        <w:rPr>
          <w:lang w:val="en-GB"/>
        </w:rPr>
        <w:t>all</w:t>
      </w:r>
      <w:r w:rsidRPr="00B460EE">
        <w:rPr>
          <w:lang w:val="en-GB"/>
        </w:rPr>
        <w:t xml:space="preserve"> existing remedies</w:t>
      </w:r>
      <w:r>
        <w:rPr>
          <w:lang w:val="en-GB"/>
        </w:rPr>
        <w:t xml:space="preserve"> imposed in related wholesale markets</w:t>
      </w:r>
      <w:r w:rsidRPr="00B460EE">
        <w:rPr>
          <w:lang w:val="en-GB"/>
        </w:rPr>
        <w:t xml:space="preserve">. </w:t>
      </w:r>
      <w:r>
        <w:rPr>
          <w:lang w:val="en-GB"/>
        </w:rPr>
        <w:t xml:space="preserve">This is necessary as to do </w:t>
      </w:r>
      <w:r w:rsidRPr="00B460EE">
        <w:rPr>
          <w:lang w:val="en-GB"/>
        </w:rPr>
        <w:t xml:space="preserve">otherwise could lead to </w:t>
      </w:r>
      <w:r w:rsidR="00D502EE">
        <w:rPr>
          <w:lang w:val="en-GB"/>
        </w:rPr>
        <w:t>an endlessly circular process of definition</w:t>
      </w:r>
      <w:r>
        <w:rPr>
          <w:rStyle w:val="FootnoteReference"/>
          <w:lang w:val="en-GB"/>
        </w:rPr>
        <w:footnoteReference w:id="11"/>
      </w:r>
      <w:r w:rsidRPr="00B460EE">
        <w:rPr>
          <w:lang w:val="en-GB"/>
        </w:rPr>
        <w:t>, where</w:t>
      </w:r>
      <w:r w:rsidR="001D4C00">
        <w:rPr>
          <w:lang w:val="en-GB"/>
        </w:rPr>
        <w:t>by</w:t>
      </w:r>
      <w:r w:rsidRPr="00B460EE">
        <w:rPr>
          <w:lang w:val="en-GB"/>
        </w:rPr>
        <w:t xml:space="preserve"> the wholesale market </w:t>
      </w:r>
      <w:r>
        <w:rPr>
          <w:lang w:val="en-GB"/>
        </w:rPr>
        <w:t>definition</w:t>
      </w:r>
      <w:r w:rsidRPr="00B460EE">
        <w:rPr>
          <w:lang w:val="en-GB"/>
        </w:rPr>
        <w:t xml:space="preserve"> would depend on a retail market definition, which in turn </w:t>
      </w:r>
      <w:r w:rsidR="001D4C00">
        <w:rPr>
          <w:lang w:val="en-GB"/>
        </w:rPr>
        <w:t>would depend in part</w:t>
      </w:r>
      <w:r w:rsidRPr="00B460EE">
        <w:rPr>
          <w:lang w:val="en-GB"/>
        </w:rPr>
        <w:t xml:space="preserve"> on </w:t>
      </w:r>
      <w:r>
        <w:rPr>
          <w:lang w:val="en-GB"/>
        </w:rPr>
        <w:t>the existence of remedies imposed in related wholesale markets</w:t>
      </w:r>
      <w:r>
        <w:rPr>
          <w:rStyle w:val="FootnoteReference"/>
          <w:lang w:val="en-GB"/>
        </w:rPr>
        <w:footnoteReference w:id="12"/>
      </w:r>
      <w:r>
        <w:rPr>
          <w:lang w:val="en-GB"/>
        </w:rPr>
        <w:t xml:space="preserve">.  </w:t>
      </w:r>
      <w:r w:rsidRPr="00B460EE">
        <w:rPr>
          <w:lang w:val="en-GB"/>
        </w:rPr>
        <w:t xml:space="preserve"> </w:t>
      </w:r>
    </w:p>
    <w:p w:rsidR="002A509E" w:rsidRDefault="002A509E"/>
    <w:p w:rsidR="000F5490" w:rsidRPr="0048635D" w:rsidRDefault="000F5490" w:rsidP="007146D5">
      <w:pPr>
        <w:pStyle w:val="Jheading2"/>
        <w:keepNext/>
        <w:widowControl w:val="0"/>
        <w:suppressAutoHyphens/>
        <w:spacing w:afterLines="100" w:line="260" w:lineRule="atLeast"/>
        <w:ind w:left="1440" w:hanging="720"/>
        <w:jc w:val="both"/>
        <w:outlineLvl w:val="2"/>
      </w:pPr>
      <w:bookmarkStart w:id="52" w:name="_Ref260404639"/>
      <w:bookmarkStart w:id="53" w:name="_Toc260737133"/>
      <w:bookmarkStart w:id="54" w:name="_Toc260738237"/>
      <w:bookmarkStart w:id="55" w:name="_Toc260738738"/>
      <w:bookmarkStart w:id="56" w:name="_Toc261602978"/>
      <w:r w:rsidRPr="004E09AE">
        <w:t xml:space="preserve">Narrow markets for </w:t>
      </w:r>
      <w:r w:rsidR="008D759B" w:rsidRPr="008D759B">
        <w:rPr>
          <w:i/>
        </w:rPr>
        <w:t>ex ante</w:t>
      </w:r>
      <w:r w:rsidRPr="004E09AE">
        <w:t xml:space="preserve"> purposes</w:t>
      </w:r>
      <w:bookmarkEnd w:id="52"/>
      <w:bookmarkEnd w:id="53"/>
      <w:bookmarkEnd w:id="54"/>
      <w:bookmarkEnd w:id="55"/>
      <w:bookmarkEnd w:id="56"/>
    </w:p>
    <w:p w:rsidR="000F5490" w:rsidRPr="0048635D" w:rsidRDefault="000F5490">
      <w:pPr>
        <w:pStyle w:val="Heading2"/>
        <w:numPr>
          <w:ilvl w:val="1"/>
          <w:numId w:val="33"/>
        </w:numPr>
        <w:spacing w:after="240"/>
        <w:jc w:val="both"/>
        <w:rPr>
          <w:lang w:val="en-GB"/>
        </w:rPr>
      </w:pPr>
      <w:r>
        <w:rPr>
          <w:lang w:val="en-GB"/>
        </w:rPr>
        <w:t xml:space="preserve">For </w:t>
      </w:r>
      <w:r w:rsidR="008D759B" w:rsidRPr="008D759B">
        <w:rPr>
          <w:i/>
          <w:lang w:val="en-GB"/>
        </w:rPr>
        <w:t>ex ante</w:t>
      </w:r>
      <w:r>
        <w:rPr>
          <w:lang w:val="en-GB"/>
        </w:rPr>
        <w:t xml:space="preserve"> purposes, a formal application of the market definition approach described above may lead to the definition of a number of narrow economic markets.  For example, calls between particular customer groups, calls at different times of the day and different types of calls (such as calls to each international destination) could all possibly be defined in separate markets. </w:t>
      </w:r>
    </w:p>
    <w:p w:rsidR="000F5490" w:rsidRDefault="000F5490">
      <w:pPr>
        <w:pStyle w:val="Heading2"/>
        <w:numPr>
          <w:ilvl w:val="1"/>
          <w:numId w:val="33"/>
        </w:numPr>
        <w:spacing w:after="240"/>
        <w:jc w:val="both"/>
        <w:rPr>
          <w:lang w:val="en-GB"/>
        </w:rPr>
      </w:pPr>
      <w:bookmarkStart w:id="57" w:name="_Ref267060001"/>
      <w:r>
        <w:rPr>
          <w:lang w:val="en-GB"/>
        </w:rPr>
        <w:t xml:space="preserve">However, when defining markets for </w:t>
      </w:r>
      <w:r w:rsidR="008D759B" w:rsidRPr="008D759B">
        <w:rPr>
          <w:i/>
          <w:lang w:val="en-GB"/>
        </w:rPr>
        <w:t>ex ante</w:t>
      </w:r>
      <w:r>
        <w:rPr>
          <w:lang w:val="en-GB"/>
        </w:rPr>
        <w:t xml:space="preserve"> purposes, the TRA </w:t>
      </w:r>
      <w:r w:rsidR="00D502EE">
        <w:rPr>
          <w:lang w:val="en-GB"/>
        </w:rPr>
        <w:t xml:space="preserve">believes </w:t>
      </w:r>
      <w:r>
        <w:rPr>
          <w:lang w:val="en-GB"/>
        </w:rPr>
        <w:t>that it is appropriate also to consider the development of the sector and the regulatory regime. The TRA therefore</w:t>
      </w:r>
      <w:r w:rsidRPr="00B460EE">
        <w:rPr>
          <w:lang w:val="en-GB"/>
        </w:rPr>
        <w:t xml:space="preserve"> expects to apply a </w:t>
      </w:r>
      <w:r w:rsidR="00D502EE">
        <w:rPr>
          <w:lang w:val="en-GB"/>
        </w:rPr>
        <w:t>“</w:t>
      </w:r>
      <w:r w:rsidRPr="00B460EE">
        <w:rPr>
          <w:lang w:val="en-GB"/>
        </w:rPr>
        <w:t>materiality</w:t>
      </w:r>
      <w:r w:rsidR="00D502EE">
        <w:rPr>
          <w:lang w:val="en-GB"/>
        </w:rPr>
        <w:t>”</w:t>
      </w:r>
      <w:r w:rsidRPr="00B460EE">
        <w:rPr>
          <w:lang w:val="en-GB"/>
        </w:rPr>
        <w:t xml:space="preserve"> test to determine whether the </w:t>
      </w:r>
      <w:proofErr w:type="gramStart"/>
      <w:r w:rsidRPr="00B460EE">
        <w:rPr>
          <w:lang w:val="en-GB"/>
        </w:rPr>
        <w:t xml:space="preserve">benefits of defining product markets on a </w:t>
      </w:r>
      <w:r>
        <w:rPr>
          <w:lang w:val="en-GB"/>
        </w:rPr>
        <w:t>narrow</w:t>
      </w:r>
      <w:r w:rsidRPr="00B460EE">
        <w:rPr>
          <w:lang w:val="en-GB"/>
        </w:rPr>
        <w:t xml:space="preserve"> basis </w:t>
      </w:r>
      <w:r w:rsidR="00D502EE">
        <w:rPr>
          <w:lang w:val="en-GB"/>
        </w:rPr>
        <w:t>demands</w:t>
      </w:r>
      <w:proofErr w:type="gramEnd"/>
      <w:r w:rsidR="00D502EE" w:rsidRPr="00B460EE">
        <w:rPr>
          <w:lang w:val="en-GB"/>
        </w:rPr>
        <w:t xml:space="preserve"> </w:t>
      </w:r>
      <w:r w:rsidRPr="00B460EE">
        <w:rPr>
          <w:lang w:val="en-GB"/>
        </w:rPr>
        <w:t xml:space="preserve">such an approach. In particular, there may be little reason to define a number of very </w:t>
      </w:r>
      <w:r>
        <w:rPr>
          <w:lang w:val="en-GB"/>
        </w:rPr>
        <w:t>narrow</w:t>
      </w:r>
      <w:r w:rsidRPr="00B460EE">
        <w:rPr>
          <w:lang w:val="en-GB"/>
        </w:rPr>
        <w:t xml:space="preserve"> markets if:</w:t>
      </w:r>
      <w:bookmarkEnd w:id="57"/>
    </w:p>
    <w:p w:rsidR="000F5490" w:rsidRDefault="000F5490" w:rsidP="004E09AE">
      <w:pPr>
        <w:pStyle w:val="ListParagraph"/>
        <w:numPr>
          <w:ilvl w:val="2"/>
          <w:numId w:val="24"/>
        </w:numPr>
        <w:tabs>
          <w:tab w:val="clear" w:pos="1680"/>
          <w:tab w:val="num" w:pos="2160"/>
        </w:tabs>
        <w:suppressAutoHyphens/>
        <w:spacing w:after="240"/>
        <w:ind w:left="2160" w:hanging="720"/>
        <w:contextualSpacing w:val="0"/>
        <w:jc w:val="both"/>
      </w:pPr>
      <w:r w:rsidRPr="00B460EE">
        <w:rPr>
          <w:bCs/>
        </w:rPr>
        <w:t>t</w:t>
      </w:r>
      <w:r w:rsidRPr="00B460EE">
        <w:t xml:space="preserve">he competitive conditions for a set of Telecommunication Services or related products </w:t>
      </w:r>
      <w:r w:rsidR="00D502EE">
        <w:t xml:space="preserve">provided in the set of different markets </w:t>
      </w:r>
      <w:r w:rsidRPr="00B460EE">
        <w:t>are likely to be very similar;</w:t>
      </w:r>
    </w:p>
    <w:p w:rsidR="000F5490" w:rsidRPr="00B460EE" w:rsidRDefault="000F5490" w:rsidP="00890CF3">
      <w:pPr>
        <w:pStyle w:val="ListParagraph"/>
        <w:numPr>
          <w:ilvl w:val="2"/>
          <w:numId w:val="24"/>
        </w:numPr>
        <w:tabs>
          <w:tab w:val="clear" w:pos="1680"/>
          <w:tab w:val="num" w:pos="2160"/>
        </w:tabs>
        <w:suppressAutoHyphens/>
        <w:spacing w:after="240"/>
        <w:ind w:left="2160" w:hanging="720"/>
        <w:contextualSpacing w:val="0"/>
        <w:jc w:val="both"/>
      </w:pPr>
      <w:r w:rsidRPr="00B460EE">
        <w:t xml:space="preserve">the same Entities are found to be offering the same, or very similar, Telecommunication Services or related products in the set of </w:t>
      </w:r>
      <w:r w:rsidR="00D502EE">
        <w:t xml:space="preserve">different </w:t>
      </w:r>
      <w:r w:rsidRPr="00B460EE">
        <w:t>markets; and</w:t>
      </w:r>
    </w:p>
    <w:p w:rsidR="000F5490" w:rsidRDefault="000F5490" w:rsidP="00A66CFF">
      <w:pPr>
        <w:pStyle w:val="ListParagraph"/>
        <w:numPr>
          <w:ilvl w:val="2"/>
          <w:numId w:val="24"/>
        </w:numPr>
        <w:tabs>
          <w:tab w:val="clear" w:pos="1680"/>
          <w:tab w:val="num" w:pos="2160"/>
        </w:tabs>
        <w:suppressAutoHyphens/>
        <w:spacing w:after="240"/>
        <w:ind w:left="2160" w:hanging="720"/>
        <w:contextualSpacing w:val="0"/>
        <w:jc w:val="both"/>
      </w:pPr>
      <w:proofErr w:type="gramStart"/>
      <w:r w:rsidRPr="00B460EE">
        <w:t>it</w:t>
      </w:r>
      <w:proofErr w:type="gramEnd"/>
      <w:r w:rsidRPr="00B460EE">
        <w:t xml:space="preserve"> is reasonable to expect that the situations above will continue to prevail.</w:t>
      </w:r>
    </w:p>
    <w:p w:rsidR="002A509E" w:rsidRDefault="002A509E">
      <w:pPr>
        <w:suppressAutoHyphens/>
        <w:ind w:left="1440"/>
        <w:jc w:val="both"/>
      </w:pPr>
    </w:p>
    <w:p w:rsidR="00F448FF" w:rsidRDefault="000F5490">
      <w:pPr>
        <w:keepNext/>
        <w:widowControl w:val="0"/>
        <w:numPr>
          <w:ilvl w:val="0"/>
          <w:numId w:val="33"/>
        </w:numPr>
        <w:suppressAutoHyphens/>
        <w:spacing w:afterLines="100" w:line="260" w:lineRule="atLeast"/>
        <w:jc w:val="both"/>
        <w:outlineLvl w:val="2"/>
        <w:rPr>
          <w:b/>
        </w:rPr>
      </w:pPr>
      <w:bookmarkStart w:id="58" w:name="_Toc260737134"/>
      <w:bookmarkStart w:id="59" w:name="_Toc260738238"/>
      <w:bookmarkStart w:id="60" w:name="_Toc260738739"/>
      <w:bookmarkStart w:id="61" w:name="_Toc261602979"/>
      <w:bookmarkStart w:id="62" w:name="_Ref267554677"/>
      <w:r w:rsidRPr="00B460EE">
        <w:rPr>
          <w:b/>
        </w:rPr>
        <w:t>Approach to competition assessments</w:t>
      </w:r>
      <w:bookmarkEnd w:id="58"/>
      <w:bookmarkEnd w:id="59"/>
      <w:bookmarkEnd w:id="60"/>
      <w:bookmarkEnd w:id="61"/>
      <w:bookmarkEnd w:id="62"/>
    </w:p>
    <w:p w:rsidR="000F5490" w:rsidRPr="00B460EE" w:rsidRDefault="000F5490" w:rsidP="00F00284">
      <w:pPr>
        <w:suppressAutoHyphens/>
        <w:ind w:left="720"/>
        <w:jc w:val="both"/>
        <w:rPr>
          <w:b/>
        </w:rPr>
      </w:pPr>
    </w:p>
    <w:p w:rsidR="000F5490" w:rsidRPr="00B460EE" w:rsidRDefault="000F5490" w:rsidP="003A4AE5">
      <w:pPr>
        <w:pStyle w:val="Heading2"/>
        <w:numPr>
          <w:ilvl w:val="1"/>
          <w:numId w:val="33"/>
        </w:numPr>
        <w:spacing w:after="240"/>
        <w:jc w:val="both"/>
        <w:rPr>
          <w:lang w:val="en-GB"/>
        </w:rPr>
      </w:pPr>
      <w:r w:rsidRPr="00B460EE">
        <w:rPr>
          <w:lang w:val="en-GB"/>
        </w:rPr>
        <w:t xml:space="preserve">This section sets out the TRA’s approach to assessing the level of competition and the </w:t>
      </w:r>
      <w:r>
        <w:rPr>
          <w:lang w:val="en-GB"/>
        </w:rPr>
        <w:t>assessment</w:t>
      </w:r>
      <w:r w:rsidRPr="00B460EE">
        <w:rPr>
          <w:lang w:val="en-GB"/>
        </w:rPr>
        <w:t xml:space="preserve"> of Market Power in a Relevant Market.</w:t>
      </w:r>
    </w:p>
    <w:p w:rsidR="000F5490" w:rsidRPr="00B460EE" w:rsidRDefault="000F5490" w:rsidP="00A66CFF">
      <w:pPr>
        <w:pStyle w:val="Heading2"/>
        <w:numPr>
          <w:ilvl w:val="1"/>
          <w:numId w:val="33"/>
        </w:numPr>
        <w:spacing w:after="240"/>
        <w:jc w:val="both"/>
        <w:rPr>
          <w:lang w:val="en-GB"/>
        </w:rPr>
      </w:pPr>
      <w:r w:rsidRPr="00B460EE">
        <w:rPr>
          <w:lang w:val="en-GB"/>
        </w:rPr>
        <w:t xml:space="preserve">Following the definition of the relevant economic markets, the next step in the market review process will be to analyse the extent of competition in the market and whether there are any Entities with Market Power in a particular Relevant Market.  </w:t>
      </w:r>
    </w:p>
    <w:p w:rsidR="000F5490" w:rsidRPr="00B460EE" w:rsidRDefault="000F5490" w:rsidP="00D30EDD">
      <w:pPr>
        <w:pStyle w:val="Heading2"/>
        <w:numPr>
          <w:ilvl w:val="1"/>
          <w:numId w:val="33"/>
        </w:numPr>
        <w:spacing w:after="240"/>
        <w:jc w:val="both"/>
        <w:rPr>
          <w:lang w:val="en-GB"/>
        </w:rPr>
      </w:pPr>
      <w:r w:rsidRPr="00B460EE">
        <w:rPr>
          <w:lang w:val="en-GB"/>
        </w:rPr>
        <w:t xml:space="preserve">To assess if any Entity has Market Power in a Relevant Market, the TRA will analyse both the level of existing competition and the level of potential competition, as well as other competitive constraints observed in the Relevant Market.  For </w:t>
      </w:r>
      <w:r w:rsidR="008D759B" w:rsidRPr="008D759B">
        <w:rPr>
          <w:i/>
          <w:lang w:val="en-GB"/>
        </w:rPr>
        <w:t>ex post</w:t>
      </w:r>
      <w:r w:rsidRPr="00B460EE">
        <w:rPr>
          <w:lang w:val="en-GB"/>
        </w:rPr>
        <w:t xml:space="preserve"> purposes, the relevant timeframe will usually be the period of the alleged </w:t>
      </w:r>
      <w:r>
        <w:rPr>
          <w:lang w:val="en-GB"/>
        </w:rPr>
        <w:t>anti-competitive behaviour</w:t>
      </w:r>
      <w:r w:rsidRPr="00B460EE">
        <w:rPr>
          <w:lang w:val="en-GB"/>
        </w:rPr>
        <w:t xml:space="preserve">.  For </w:t>
      </w:r>
      <w:r w:rsidR="008D759B" w:rsidRPr="008D759B">
        <w:rPr>
          <w:i/>
          <w:lang w:val="en-GB"/>
        </w:rPr>
        <w:t>ex ante</w:t>
      </w:r>
      <w:r w:rsidRPr="00B460EE">
        <w:rPr>
          <w:lang w:val="en-GB"/>
        </w:rPr>
        <w:t xml:space="preserve"> purposes, the relevant timeframe will usually be one year.  </w:t>
      </w:r>
      <w:r w:rsidRPr="00B460EE">
        <w:rPr>
          <w:lang w:val="en-GB"/>
        </w:rPr>
        <w:lastRenderedPageBreak/>
        <w:t>Where competition is not considered to be effective</w:t>
      </w:r>
      <w:r w:rsidR="00D502EE">
        <w:rPr>
          <w:lang w:val="en-GB"/>
        </w:rPr>
        <w:t xml:space="preserve"> currently</w:t>
      </w:r>
      <w:r w:rsidRPr="00B460EE">
        <w:rPr>
          <w:lang w:val="en-GB"/>
        </w:rPr>
        <w:t xml:space="preserve"> or prospectively, one or more Entities in the Relevant Market could be found to have Market Power. This process is summarised in Figure 3 below.</w:t>
      </w:r>
    </w:p>
    <w:p w:rsidR="00F448FF" w:rsidRDefault="000F5490">
      <w:pPr>
        <w:pStyle w:val="Jheading2"/>
        <w:keepNext/>
        <w:spacing w:afterLines="150"/>
        <w:jc w:val="center"/>
      </w:pPr>
      <w:r w:rsidRPr="00B460EE">
        <w:rPr>
          <w:bCs/>
        </w:rPr>
        <w:t>Figure 3</w:t>
      </w:r>
      <w:r w:rsidRPr="00B460EE">
        <w:rPr>
          <w:b w:val="0"/>
        </w:rPr>
        <w:t xml:space="preserve"> </w:t>
      </w:r>
      <w:r w:rsidRPr="00B460EE">
        <w:rPr>
          <w:b w:val="0"/>
          <w:bCs/>
        </w:rPr>
        <w:t>Approach to a competition assessment</w:t>
      </w:r>
    </w:p>
    <w:p w:rsidR="000F5490" w:rsidRPr="00B460EE" w:rsidRDefault="00445C13" w:rsidP="00DB2D2C">
      <w:pPr>
        <w:jc w:val="center"/>
      </w:pPr>
      <w:r>
        <w:rPr>
          <w:noProof/>
          <w:lang w:eastAsia="en-GB"/>
        </w:rPr>
        <w:pict>
          <v:shape id="Picture 29" o:spid="_x0000_i1027" type="#_x0000_t75" style="width:377pt;height:79.45pt;visibility:visible">
            <v:imagedata r:id="rId10" o:title=""/>
          </v:shape>
        </w:pict>
      </w:r>
    </w:p>
    <w:p w:rsidR="000F5490" w:rsidRDefault="000F5490" w:rsidP="002C314E">
      <w:pPr>
        <w:pStyle w:val="Jheading2"/>
        <w:keepNext/>
        <w:widowControl w:val="0"/>
        <w:suppressAutoHyphens/>
        <w:spacing w:afterLines="100" w:line="260" w:lineRule="atLeast"/>
        <w:ind w:left="1440" w:hanging="720"/>
        <w:jc w:val="both"/>
        <w:outlineLvl w:val="2"/>
      </w:pPr>
      <w:bookmarkStart w:id="63" w:name="_Toc261535286"/>
      <w:bookmarkStart w:id="64" w:name="_Toc261536430"/>
      <w:bookmarkStart w:id="65" w:name="_Ref261528812"/>
      <w:bookmarkStart w:id="66" w:name="_Toc261602981"/>
      <w:bookmarkEnd w:id="63"/>
      <w:bookmarkEnd w:id="64"/>
    </w:p>
    <w:p w:rsidR="000F5490" w:rsidRPr="00B460EE" w:rsidRDefault="000F5490" w:rsidP="002C314E">
      <w:pPr>
        <w:pStyle w:val="Jheading2"/>
        <w:keepNext/>
        <w:widowControl w:val="0"/>
        <w:suppressAutoHyphens/>
        <w:spacing w:afterLines="100" w:line="260" w:lineRule="atLeast"/>
        <w:ind w:left="1440" w:hanging="720"/>
        <w:jc w:val="both"/>
        <w:outlineLvl w:val="2"/>
      </w:pPr>
      <w:r w:rsidRPr="00B460EE">
        <w:t>Analysis of existing competition</w:t>
      </w:r>
      <w:bookmarkEnd w:id="65"/>
      <w:bookmarkEnd w:id="66"/>
      <w:r w:rsidRPr="00B460EE">
        <w:t xml:space="preserve"> in a Relevant Market</w:t>
      </w:r>
    </w:p>
    <w:p w:rsidR="000F5490" w:rsidRDefault="000F5490" w:rsidP="00732798">
      <w:pPr>
        <w:pStyle w:val="Heading2"/>
        <w:numPr>
          <w:ilvl w:val="1"/>
          <w:numId w:val="33"/>
        </w:numPr>
        <w:spacing w:after="240"/>
        <w:jc w:val="both"/>
        <w:rPr>
          <w:lang w:val="en-GB"/>
        </w:rPr>
      </w:pPr>
      <w:r w:rsidRPr="00B460EE">
        <w:rPr>
          <w:bCs/>
          <w:lang w:val="en-GB"/>
        </w:rPr>
        <w:t xml:space="preserve">The </w:t>
      </w:r>
      <w:r w:rsidRPr="00B460EE">
        <w:rPr>
          <w:lang w:val="en-GB"/>
        </w:rPr>
        <w:t xml:space="preserve">analysis of existing competition for both </w:t>
      </w:r>
      <w:r w:rsidR="008D759B" w:rsidRPr="008D759B">
        <w:rPr>
          <w:i/>
          <w:lang w:val="en-GB"/>
        </w:rPr>
        <w:t>ex ante</w:t>
      </w:r>
      <w:r w:rsidRPr="00B460EE">
        <w:rPr>
          <w:lang w:val="en-GB"/>
        </w:rPr>
        <w:t xml:space="preserve"> and </w:t>
      </w:r>
      <w:r w:rsidR="008D759B" w:rsidRPr="008D759B">
        <w:rPr>
          <w:i/>
          <w:lang w:val="en-GB"/>
        </w:rPr>
        <w:t>ex post</w:t>
      </w:r>
      <w:r w:rsidRPr="00B460EE">
        <w:rPr>
          <w:lang w:val="en-GB"/>
        </w:rPr>
        <w:t xml:space="preserve"> purposes will consider the extent to which existing competitors or near competitors (that is, other Entities providing similar products) in the Relevant Market provide a competitive constraint </w:t>
      </w:r>
      <w:r w:rsidR="005117BC">
        <w:rPr>
          <w:lang w:val="en-GB"/>
        </w:rPr>
        <w:t>on</w:t>
      </w:r>
      <w:r w:rsidR="005117BC" w:rsidRPr="00B460EE">
        <w:rPr>
          <w:lang w:val="en-GB"/>
        </w:rPr>
        <w:t xml:space="preserve"> </w:t>
      </w:r>
      <w:r w:rsidRPr="00B460EE">
        <w:rPr>
          <w:lang w:val="en-GB"/>
        </w:rPr>
        <w:t xml:space="preserve">other Entities in the Relevant Market, </w:t>
      </w:r>
      <w:r>
        <w:rPr>
          <w:lang w:val="en-GB"/>
        </w:rPr>
        <w:t>thus</w:t>
      </w:r>
      <w:r w:rsidRPr="00B460EE">
        <w:rPr>
          <w:lang w:val="en-GB"/>
        </w:rPr>
        <w:t xml:space="preserve"> preventing any </w:t>
      </w:r>
      <w:r w:rsidR="005117BC">
        <w:rPr>
          <w:lang w:val="en-GB"/>
        </w:rPr>
        <w:t xml:space="preserve">one </w:t>
      </w:r>
      <w:r w:rsidRPr="00B460EE">
        <w:rPr>
          <w:lang w:val="en-GB"/>
        </w:rPr>
        <w:t>Entity from acting to an appreciable extent independently of competitors, customers and consumers.</w:t>
      </w:r>
    </w:p>
    <w:p w:rsidR="00F448FF" w:rsidRDefault="000F5490">
      <w:pPr>
        <w:pStyle w:val="Heading2"/>
        <w:keepNext/>
        <w:widowControl w:val="0"/>
        <w:tabs>
          <w:tab w:val="clear" w:pos="360"/>
        </w:tabs>
        <w:spacing w:afterLines="100" w:line="260" w:lineRule="atLeast"/>
        <w:ind w:left="1440" w:hanging="720"/>
        <w:jc w:val="both"/>
        <w:rPr>
          <w:b/>
          <w:bCs/>
          <w:lang w:val="en-GB"/>
        </w:rPr>
      </w:pPr>
      <w:r w:rsidRPr="00B460EE">
        <w:rPr>
          <w:b/>
          <w:bCs/>
          <w:lang w:val="en-GB"/>
        </w:rPr>
        <w:t>Market Share</w:t>
      </w:r>
    </w:p>
    <w:p w:rsidR="000F5490" w:rsidRPr="00B460EE" w:rsidRDefault="000F5490" w:rsidP="00BA4A65">
      <w:pPr>
        <w:pStyle w:val="Heading2"/>
        <w:numPr>
          <w:ilvl w:val="1"/>
          <w:numId w:val="33"/>
        </w:numPr>
        <w:spacing w:after="240"/>
        <w:jc w:val="both"/>
        <w:rPr>
          <w:lang w:val="en-GB"/>
        </w:rPr>
      </w:pPr>
      <w:bookmarkStart w:id="67" w:name="_Ref261858137"/>
      <w:r w:rsidRPr="00B460EE">
        <w:rPr>
          <w:lang w:val="en-GB"/>
        </w:rPr>
        <w:t>The TRA will take the development, over time, of an Entity’s Market Share as the starting point for assessing the degree of an Entity’s Market Power in a Relevant Market. In particular</w:t>
      </w:r>
      <w:r>
        <w:rPr>
          <w:lang w:val="en-GB"/>
        </w:rPr>
        <w:t xml:space="preserve">, the TRA will </w:t>
      </w:r>
      <w:r w:rsidR="005117BC">
        <w:rPr>
          <w:lang w:val="en-GB"/>
        </w:rPr>
        <w:t>keep in mind the following:</w:t>
      </w:r>
    </w:p>
    <w:bookmarkEnd w:id="67"/>
    <w:p w:rsidR="00F448FF" w:rsidRDefault="000F5490">
      <w:pPr>
        <w:pStyle w:val="Jheading3"/>
        <w:keepNext w:val="0"/>
        <w:numPr>
          <w:ilvl w:val="2"/>
          <w:numId w:val="33"/>
        </w:numPr>
        <w:suppressAutoHyphens/>
        <w:spacing w:afterLines="100"/>
        <w:ind w:left="2275"/>
        <w:rPr>
          <w:sz w:val="24"/>
          <w:szCs w:val="24"/>
        </w:rPr>
      </w:pPr>
      <w:r w:rsidRPr="00B460EE">
        <w:rPr>
          <w:sz w:val="24"/>
          <w:szCs w:val="24"/>
        </w:rPr>
        <w:t>The Market Share of an Entity can be measured in a number of different ways. For example, it can be measured using the proportion of subscribers, lines, data, minutes, sales (revenue) or capacity the Entity accounts for in the Relevant Market. The TRA will consider a range of measures depending on the context.</w:t>
      </w:r>
    </w:p>
    <w:p w:rsidR="007E3368" w:rsidRDefault="005117BC">
      <w:pPr>
        <w:pStyle w:val="Jheading3"/>
        <w:keepNext w:val="0"/>
        <w:numPr>
          <w:ilvl w:val="2"/>
          <w:numId w:val="33"/>
        </w:numPr>
        <w:suppressAutoHyphens/>
        <w:spacing w:afterLines="100"/>
        <w:ind w:left="2275"/>
        <w:rPr>
          <w:sz w:val="24"/>
          <w:szCs w:val="24"/>
        </w:rPr>
      </w:pPr>
      <w:r w:rsidRPr="00B460EE">
        <w:rPr>
          <w:sz w:val="24"/>
          <w:szCs w:val="24"/>
        </w:rPr>
        <w:t xml:space="preserve">Article 5.3 of the Competition Safeguards states that “It shall be a prima facie but rebuttable assumption that an agreement of understanding will not contravene Article 5.1 [relating to formal or informal anti-competitive agreements or understandings], if the combined Market Share of all parties to the agreement or understanding does not exceed 15% in any of the Relevant </w:t>
      </w:r>
      <w:r w:rsidRPr="00B460EE">
        <w:rPr>
          <w:sz w:val="24"/>
          <w:szCs w:val="24"/>
        </w:rPr>
        <w:lastRenderedPageBreak/>
        <w:t xml:space="preserve">Markets affected by the agreement or understanding.”  </w:t>
      </w:r>
    </w:p>
    <w:p w:rsidR="00F448FF" w:rsidRDefault="000F5490">
      <w:pPr>
        <w:pStyle w:val="Jheading3"/>
        <w:keepNext w:val="0"/>
        <w:numPr>
          <w:ilvl w:val="2"/>
          <w:numId w:val="33"/>
        </w:numPr>
        <w:suppressAutoHyphens/>
        <w:spacing w:afterLines="100"/>
        <w:ind w:left="2275"/>
        <w:rPr>
          <w:sz w:val="24"/>
          <w:szCs w:val="24"/>
        </w:rPr>
      </w:pPr>
      <w:r w:rsidRPr="00B460EE">
        <w:rPr>
          <w:sz w:val="24"/>
          <w:szCs w:val="24"/>
        </w:rPr>
        <w:t>Article 6.3 of the Competition Safeguards states that it “shall be a prima facie but rebuttable presumption, that an Entity does not have Market Power in a Relevant Market if its Market Share does not exceed 40% in the Relevant Market”.</w:t>
      </w:r>
    </w:p>
    <w:p w:rsidR="00F448FF" w:rsidRDefault="0035762B">
      <w:pPr>
        <w:pStyle w:val="Jheading3"/>
        <w:keepNext w:val="0"/>
        <w:numPr>
          <w:ilvl w:val="2"/>
          <w:numId w:val="33"/>
        </w:numPr>
        <w:suppressAutoHyphens/>
        <w:spacing w:afterLines="100"/>
        <w:ind w:left="2275"/>
        <w:rPr>
          <w:sz w:val="24"/>
          <w:szCs w:val="24"/>
        </w:rPr>
      </w:pPr>
      <w:r>
        <w:rPr>
          <w:sz w:val="24"/>
          <w:szCs w:val="24"/>
        </w:rPr>
        <w:t>On the other hand, a</w:t>
      </w:r>
      <w:r w:rsidR="000F5490" w:rsidRPr="00B460EE">
        <w:rPr>
          <w:sz w:val="24"/>
          <w:szCs w:val="24"/>
        </w:rPr>
        <w:t xml:space="preserve"> relatively high Market Share does not necessarily imply that an Entity has Market Power in a Relevant Market. For example, an Entity with a relatively large Market Share may not possess Market Power where barriers to market entry are very low and the perceived threat of entry relatively high (see Sections </w:t>
      </w:r>
      <w:r w:rsidR="004E0E95" w:rsidRPr="00B460EE">
        <w:rPr>
          <w:sz w:val="24"/>
          <w:szCs w:val="24"/>
        </w:rPr>
        <w:fldChar w:fldCharType="begin"/>
      </w:r>
      <w:r w:rsidR="000F5490" w:rsidRPr="00B460EE">
        <w:rPr>
          <w:sz w:val="24"/>
          <w:szCs w:val="24"/>
        </w:rPr>
        <w:instrText xml:space="preserve"> REF _Ref261857774 \r \h </w:instrText>
      </w:r>
      <w:r w:rsidR="004E0E95" w:rsidRPr="00B460EE">
        <w:rPr>
          <w:sz w:val="24"/>
          <w:szCs w:val="24"/>
        </w:rPr>
      </w:r>
      <w:r w:rsidR="004E0E95" w:rsidRPr="00B460EE">
        <w:rPr>
          <w:sz w:val="24"/>
          <w:szCs w:val="24"/>
        </w:rPr>
        <w:fldChar w:fldCharType="separate"/>
      </w:r>
      <w:r w:rsidR="00D36817">
        <w:rPr>
          <w:sz w:val="24"/>
          <w:szCs w:val="24"/>
          <w:cs/>
        </w:rPr>
        <w:t>‎</w:t>
      </w:r>
      <w:r w:rsidR="00D36817">
        <w:rPr>
          <w:sz w:val="24"/>
          <w:szCs w:val="24"/>
        </w:rPr>
        <w:t>9.7</w:t>
      </w:r>
      <w:r w:rsidR="004E0E95" w:rsidRPr="00B460EE">
        <w:rPr>
          <w:sz w:val="24"/>
          <w:szCs w:val="24"/>
        </w:rPr>
        <w:fldChar w:fldCharType="end"/>
      </w:r>
      <w:r w:rsidR="000F5490" w:rsidRPr="00B460EE">
        <w:rPr>
          <w:sz w:val="24"/>
          <w:szCs w:val="24"/>
        </w:rPr>
        <w:t xml:space="preserve"> to </w:t>
      </w:r>
      <w:r w:rsidR="004E0E95" w:rsidRPr="00B460EE">
        <w:rPr>
          <w:sz w:val="24"/>
          <w:szCs w:val="24"/>
        </w:rPr>
        <w:fldChar w:fldCharType="begin"/>
      </w:r>
      <w:r w:rsidR="000F5490" w:rsidRPr="00B460EE">
        <w:rPr>
          <w:sz w:val="24"/>
          <w:szCs w:val="24"/>
        </w:rPr>
        <w:instrText xml:space="preserve"> REF _Ref261857736 \r \h </w:instrText>
      </w:r>
      <w:r w:rsidR="004E0E95" w:rsidRPr="00B460EE">
        <w:rPr>
          <w:sz w:val="24"/>
          <w:szCs w:val="24"/>
        </w:rPr>
      </w:r>
      <w:r w:rsidR="004E0E95" w:rsidRPr="00B460EE">
        <w:rPr>
          <w:sz w:val="24"/>
          <w:szCs w:val="24"/>
        </w:rPr>
        <w:fldChar w:fldCharType="separate"/>
      </w:r>
      <w:r w:rsidR="00D36817">
        <w:rPr>
          <w:sz w:val="24"/>
          <w:szCs w:val="24"/>
          <w:cs/>
        </w:rPr>
        <w:t>‎</w:t>
      </w:r>
      <w:r w:rsidR="00D36817">
        <w:rPr>
          <w:sz w:val="24"/>
          <w:szCs w:val="24"/>
        </w:rPr>
        <w:t>9.9</w:t>
      </w:r>
      <w:r w:rsidR="004E0E95" w:rsidRPr="00B460EE">
        <w:rPr>
          <w:sz w:val="24"/>
          <w:szCs w:val="24"/>
        </w:rPr>
        <w:fldChar w:fldCharType="end"/>
      </w:r>
      <w:r w:rsidR="000F5490" w:rsidRPr="00B460EE">
        <w:rPr>
          <w:sz w:val="24"/>
          <w:szCs w:val="24"/>
        </w:rPr>
        <w:t xml:space="preserve"> </w:t>
      </w:r>
      <w:r w:rsidR="002A2875">
        <w:rPr>
          <w:sz w:val="24"/>
          <w:szCs w:val="24"/>
        </w:rPr>
        <w:t xml:space="preserve">of these Guidelines, </w:t>
      </w:r>
      <w:r w:rsidR="000F5490" w:rsidRPr="00B460EE">
        <w:rPr>
          <w:sz w:val="24"/>
          <w:szCs w:val="24"/>
        </w:rPr>
        <w:t xml:space="preserve">which describes how potential competition can limit Market Power). In addition, where markets are emerging or expanding more quickly, high Market Shares are less indicative of Market Power than in more mature or slow-growth markets. </w:t>
      </w:r>
    </w:p>
    <w:p w:rsidR="000F5490" w:rsidRPr="00B460EE" w:rsidRDefault="000F5490" w:rsidP="002C314E">
      <w:pPr>
        <w:pStyle w:val="Jheading2"/>
        <w:keepNext/>
        <w:widowControl w:val="0"/>
        <w:suppressAutoHyphens/>
        <w:spacing w:afterLines="100" w:line="260" w:lineRule="atLeast"/>
        <w:ind w:left="1440" w:hanging="720"/>
        <w:jc w:val="both"/>
        <w:outlineLvl w:val="2"/>
      </w:pPr>
      <w:r w:rsidRPr="00B460EE">
        <w:t>Additional factors</w:t>
      </w:r>
    </w:p>
    <w:p w:rsidR="000F5490" w:rsidRPr="00B460EE" w:rsidRDefault="000F5490" w:rsidP="00A66CFF">
      <w:pPr>
        <w:pStyle w:val="Heading2"/>
        <w:numPr>
          <w:ilvl w:val="1"/>
          <w:numId w:val="33"/>
        </w:numPr>
        <w:spacing w:after="240"/>
        <w:jc w:val="both"/>
        <w:rPr>
          <w:lang w:val="en-GB"/>
        </w:rPr>
      </w:pPr>
      <w:r w:rsidRPr="00B460EE">
        <w:rPr>
          <w:lang w:val="en-GB"/>
        </w:rPr>
        <w:t xml:space="preserve">As mentioned above, because a high Market Share in isolation does not necessarily confirm the existence of Market Power in a Relevant Market, where information is available the TRA will, in addition to Market Share analysis, consider a range of other factors for both </w:t>
      </w:r>
      <w:r w:rsidR="008D759B" w:rsidRPr="008D759B">
        <w:rPr>
          <w:i/>
          <w:lang w:val="en-GB"/>
        </w:rPr>
        <w:t>ex ante</w:t>
      </w:r>
      <w:r w:rsidRPr="00B460EE">
        <w:rPr>
          <w:lang w:val="en-GB"/>
        </w:rPr>
        <w:t xml:space="preserve"> and </w:t>
      </w:r>
      <w:r w:rsidR="008D759B" w:rsidRPr="008D759B">
        <w:rPr>
          <w:i/>
          <w:lang w:val="en-GB"/>
        </w:rPr>
        <w:t>ex post</w:t>
      </w:r>
      <w:r w:rsidRPr="00B460EE">
        <w:rPr>
          <w:lang w:val="en-GB"/>
        </w:rPr>
        <w:t xml:space="preserve"> purposes.  These factors include those listed in Article 5.2 of the </w:t>
      </w:r>
      <w:r w:rsidR="0035762B" w:rsidRPr="0035762B">
        <w:rPr>
          <w:lang w:val="en-GB"/>
        </w:rPr>
        <w:t>Ex ante Competition Safeguards</w:t>
      </w:r>
      <w:r w:rsidRPr="00B460EE">
        <w:rPr>
          <w:lang w:val="en-GB"/>
        </w:rPr>
        <w:t xml:space="preserve">, the most important of which are further elaborated under the headings below.  </w:t>
      </w:r>
    </w:p>
    <w:p w:rsidR="00F448FF" w:rsidRDefault="000F5490">
      <w:pPr>
        <w:pStyle w:val="Heading3"/>
        <w:numPr>
          <w:ilvl w:val="2"/>
          <w:numId w:val="33"/>
        </w:numPr>
        <w:suppressAutoHyphens/>
        <w:spacing w:afterLines="100"/>
        <w:ind w:left="2274"/>
        <w:rPr>
          <w:sz w:val="24"/>
          <w:szCs w:val="24"/>
        </w:rPr>
      </w:pPr>
      <w:r w:rsidRPr="00B460EE">
        <w:rPr>
          <w:sz w:val="24"/>
          <w:szCs w:val="24"/>
        </w:rPr>
        <w:t>Number and relative size of competitors in the market</w:t>
      </w:r>
    </w:p>
    <w:p w:rsidR="007E3368"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Changes in the number and relative size of Entities over time could indicate that there is competition in a market. If an Entity has a stable or increasing Market Share then this could indicate that the Entity has Market Power in a Relevant Market. The TRA would consider this with other factors. For example, an increasing Market Share may not be associated with lasting Market Power if the Entity has a technological advantage that might be expected to be overcome relatively easily or over a short period of time.</w:t>
      </w:r>
    </w:p>
    <w:p w:rsidR="00F448FF" w:rsidRDefault="000F5490">
      <w:pPr>
        <w:pStyle w:val="Heading3"/>
        <w:numPr>
          <w:ilvl w:val="2"/>
          <w:numId w:val="33"/>
        </w:numPr>
        <w:suppressAutoHyphens/>
        <w:spacing w:afterLines="100"/>
        <w:ind w:left="2274"/>
        <w:rPr>
          <w:color w:val="000000"/>
          <w:sz w:val="24"/>
          <w:szCs w:val="24"/>
        </w:rPr>
      </w:pPr>
      <w:r w:rsidRPr="00B460EE">
        <w:rPr>
          <w:color w:val="000000"/>
          <w:sz w:val="24"/>
          <w:szCs w:val="24"/>
        </w:rPr>
        <w:t>Revenues and assets of the relevant Entity and capacity constraints</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 xml:space="preserve">The TRA will use this information to assess the extent to which an Entity or Entities are able to replicate the Telecommunication Services or related products and prices offered by other Entities.  </w:t>
      </w:r>
      <w:r w:rsidRPr="00B460EE">
        <w:rPr>
          <w:b w:val="0"/>
          <w:bCs w:val="0"/>
          <w:sz w:val="24"/>
          <w:szCs w:val="24"/>
        </w:rPr>
        <w:lastRenderedPageBreak/>
        <w:t>For example, if an Entity has spare capacity in its network then it may be better able to compete in the Relevant Market.  Conversely, if an Entity does not have capacity on its own network, or uses access to another Entity’s network to compete in retail markets, it may be more limited in its ability to compete compared to Entities with spare capacity and/or their own networks.</w:t>
      </w:r>
    </w:p>
    <w:p w:rsidR="00F448FF" w:rsidRDefault="000F5490">
      <w:pPr>
        <w:pStyle w:val="Heading3"/>
        <w:numPr>
          <w:ilvl w:val="2"/>
          <w:numId w:val="33"/>
        </w:numPr>
        <w:suppressAutoHyphens/>
        <w:spacing w:afterLines="100"/>
        <w:ind w:left="2274"/>
        <w:rPr>
          <w:color w:val="000000"/>
          <w:sz w:val="24"/>
          <w:szCs w:val="24"/>
        </w:rPr>
      </w:pPr>
      <w:r w:rsidRPr="00B460EE">
        <w:rPr>
          <w:color w:val="000000"/>
          <w:sz w:val="24"/>
          <w:szCs w:val="24"/>
        </w:rPr>
        <w:t>Technological advantages or superiority</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The TRA will assess whether an Entity has access to technological advantages or is technically superior which means that actual and potential competitors would not be able to achieve the same costs of production (i.e. offer competitive prices) or offer comparable products.</w:t>
      </w:r>
    </w:p>
    <w:p w:rsidR="00F448FF" w:rsidRDefault="000F5490">
      <w:pPr>
        <w:pStyle w:val="Heading3"/>
        <w:numPr>
          <w:ilvl w:val="2"/>
          <w:numId w:val="33"/>
        </w:numPr>
        <w:suppressAutoHyphens/>
        <w:spacing w:afterLines="100"/>
        <w:ind w:left="2274"/>
        <w:rPr>
          <w:color w:val="000000"/>
          <w:sz w:val="24"/>
          <w:szCs w:val="24"/>
        </w:rPr>
      </w:pPr>
      <w:r w:rsidRPr="00B460EE">
        <w:rPr>
          <w:color w:val="000000"/>
          <w:sz w:val="24"/>
          <w:szCs w:val="24"/>
        </w:rPr>
        <w:t>Potential to leverage Market Power from one market to another</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 xml:space="preserve">The TRA will assess whether an Entity has the potential to leverage its Market Power from one market to another. </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 xml:space="preserve">For example, the TRA will assess whether an Entity is able to bundle or tie products in horizontally related markets in a way which </w:t>
      </w:r>
      <w:r w:rsidRPr="00B460EE">
        <w:rPr>
          <w:b w:val="0"/>
          <w:sz w:val="24"/>
          <w:szCs w:val="24"/>
        </w:rPr>
        <w:t>enables it to behave to an appreciable extent independently of its competitors, customers, and ultimately consumers in a Relevant Market</w:t>
      </w:r>
      <w:r w:rsidRPr="00B460EE">
        <w:rPr>
          <w:b w:val="0"/>
          <w:bCs w:val="0"/>
          <w:sz w:val="24"/>
          <w:szCs w:val="24"/>
        </w:rPr>
        <w:t xml:space="preserve">. </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The TRA will also assess the extent to which a vertically integrated Entity is able to leverage its Market Power from the upstream market into the downstream (retail) market. For example, a vertically integrated Entity that is the sole provider of a wholesale input for downstream products may be able to exclude competitors from the downstream market by charging high wholesale prices.</w:t>
      </w:r>
    </w:p>
    <w:p w:rsidR="00F448FF" w:rsidRDefault="000F5490">
      <w:pPr>
        <w:pStyle w:val="Heading3"/>
        <w:numPr>
          <w:ilvl w:val="2"/>
          <w:numId w:val="33"/>
        </w:numPr>
        <w:suppressAutoHyphens/>
        <w:spacing w:afterLines="100"/>
        <w:ind w:left="2274"/>
        <w:rPr>
          <w:color w:val="000000"/>
          <w:sz w:val="24"/>
          <w:szCs w:val="24"/>
        </w:rPr>
      </w:pPr>
      <w:r w:rsidRPr="00B460EE">
        <w:rPr>
          <w:color w:val="000000"/>
          <w:sz w:val="24"/>
          <w:szCs w:val="24"/>
        </w:rPr>
        <w:t>Telecommunication Services or related products - diversification and innovation</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The TRA will consider the extent to which Telecommunication Services or related products are diversified and how these products and services are developed and introduced. This is because the level of choice available to consumers could provide evidence of effective competition.</w:t>
      </w:r>
    </w:p>
    <w:p w:rsidR="00445C13" w:rsidRPr="00445C13" w:rsidRDefault="00445C13" w:rsidP="00445C13"/>
    <w:p w:rsidR="00F448FF" w:rsidRDefault="000F5490">
      <w:pPr>
        <w:pStyle w:val="Heading3"/>
        <w:numPr>
          <w:ilvl w:val="2"/>
          <w:numId w:val="33"/>
        </w:numPr>
        <w:suppressAutoHyphens/>
        <w:spacing w:afterLines="100"/>
        <w:ind w:left="2274"/>
        <w:rPr>
          <w:color w:val="000000"/>
          <w:sz w:val="24"/>
          <w:szCs w:val="24"/>
        </w:rPr>
      </w:pPr>
      <w:r w:rsidRPr="00B460EE">
        <w:rPr>
          <w:color w:val="000000"/>
          <w:sz w:val="24"/>
          <w:szCs w:val="24"/>
        </w:rPr>
        <w:lastRenderedPageBreak/>
        <w:t>Movement of prices over time and whether there is any relation to the underlying costs</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 xml:space="preserve">The TRA will consider whether the movement of prices over time has any relation to the underlying costs as any divergence could suggest the Relevant Market is not effectively competitive. When considering relative price/cost movements, the TRA will also take account of any </w:t>
      </w:r>
      <w:proofErr w:type="gramStart"/>
      <w:r w:rsidRPr="00B460EE">
        <w:rPr>
          <w:b w:val="0"/>
          <w:bCs w:val="0"/>
          <w:sz w:val="24"/>
          <w:szCs w:val="24"/>
        </w:rPr>
        <w:t>efficiencies</w:t>
      </w:r>
      <w:proofErr w:type="gramEnd"/>
      <w:r w:rsidRPr="00B460EE">
        <w:rPr>
          <w:b w:val="0"/>
          <w:bCs w:val="0"/>
          <w:sz w:val="24"/>
          <w:szCs w:val="24"/>
        </w:rPr>
        <w:t xml:space="preserve"> in production observed over the relevant period of time. Evidence of return on capital employed (ROCE) that is greater than the cost of capital for a prolonged period of time and/or increasing over time, may indicate that the market is not effectively competitive.</w:t>
      </w:r>
    </w:p>
    <w:p w:rsidR="000F5490" w:rsidRPr="00B460EE" w:rsidRDefault="000F5490" w:rsidP="00093D15">
      <w:pPr>
        <w:pStyle w:val="Jheading2"/>
        <w:keepNext/>
        <w:widowControl w:val="0"/>
        <w:suppressAutoHyphens/>
        <w:spacing w:afterLines="100" w:line="260" w:lineRule="atLeast"/>
        <w:jc w:val="both"/>
        <w:outlineLvl w:val="2"/>
      </w:pPr>
      <w:bookmarkStart w:id="68" w:name="_Ref261529637"/>
      <w:bookmarkStart w:id="69" w:name="_Toc261602982"/>
      <w:r w:rsidRPr="00B460EE">
        <w:t>Analysis of potential competition</w:t>
      </w:r>
      <w:bookmarkEnd w:id="68"/>
      <w:bookmarkEnd w:id="69"/>
      <w:r w:rsidRPr="00B460EE">
        <w:t xml:space="preserve"> in a Relevant Market</w:t>
      </w:r>
    </w:p>
    <w:p w:rsidR="000F5490" w:rsidRPr="00B460EE" w:rsidRDefault="000F5490" w:rsidP="00BA4A65">
      <w:pPr>
        <w:pStyle w:val="Heading2"/>
        <w:numPr>
          <w:ilvl w:val="1"/>
          <w:numId w:val="33"/>
        </w:numPr>
        <w:spacing w:after="240"/>
        <w:jc w:val="both"/>
        <w:rPr>
          <w:lang w:val="en-GB"/>
        </w:rPr>
      </w:pPr>
      <w:bookmarkStart w:id="70" w:name="_Ref261857774"/>
      <w:r w:rsidRPr="00B460EE">
        <w:rPr>
          <w:lang w:val="en-GB"/>
        </w:rPr>
        <w:t xml:space="preserve">The TRA will consider the extent to which potential competition imposes a competitive constraint on Entities in the Relevant Market. </w:t>
      </w:r>
    </w:p>
    <w:p w:rsidR="000F5490" w:rsidRPr="00B460EE" w:rsidRDefault="000F5490" w:rsidP="00890CF3">
      <w:pPr>
        <w:pStyle w:val="Heading2"/>
        <w:numPr>
          <w:ilvl w:val="1"/>
          <w:numId w:val="33"/>
        </w:numPr>
        <w:spacing w:after="240"/>
        <w:jc w:val="both"/>
        <w:rPr>
          <w:lang w:val="en-GB"/>
        </w:rPr>
      </w:pPr>
      <w:bookmarkStart w:id="71" w:name="_Ref261857734"/>
      <w:bookmarkEnd w:id="70"/>
      <w:r w:rsidRPr="00B460EE">
        <w:rPr>
          <w:lang w:val="en-GB"/>
        </w:rPr>
        <w:t xml:space="preserve">Barriers to entry may prevent or deter the entry of new entrants even when incumbent Entities are earning economic profits. These may take the form of physical, geographic or legal obstacles. Barriers to expansion are similar but relate to the ability of Entities already in the market to expand supply. When these barriers are high, actual and potential competition may be more limited. When assessing the level of potential competition in a market for </w:t>
      </w:r>
      <w:r w:rsidR="008D759B" w:rsidRPr="008D759B">
        <w:rPr>
          <w:i/>
          <w:lang w:val="en-GB"/>
        </w:rPr>
        <w:t>ex post</w:t>
      </w:r>
      <w:r w:rsidRPr="00B460EE">
        <w:rPr>
          <w:lang w:val="en-GB"/>
        </w:rPr>
        <w:t xml:space="preserve"> purposes the TRA will take account of the impact of existing remedies on the barriers to entry and expansion. </w:t>
      </w:r>
      <w:bookmarkEnd w:id="71"/>
    </w:p>
    <w:p w:rsidR="000F5490" w:rsidRPr="00B460EE" w:rsidRDefault="000F5490" w:rsidP="00BA4A65">
      <w:pPr>
        <w:pStyle w:val="Heading2"/>
        <w:numPr>
          <w:ilvl w:val="1"/>
          <w:numId w:val="33"/>
        </w:numPr>
        <w:spacing w:after="240"/>
        <w:jc w:val="both"/>
        <w:rPr>
          <w:lang w:val="en-GB"/>
        </w:rPr>
      </w:pPr>
      <w:bookmarkStart w:id="72" w:name="_Ref261857736"/>
      <w:r w:rsidRPr="00B460EE">
        <w:rPr>
          <w:lang w:val="en-GB"/>
        </w:rPr>
        <w:t>Among other factors, the TRA will consider:</w:t>
      </w:r>
      <w:bookmarkEnd w:id="72"/>
    </w:p>
    <w:p w:rsidR="00F448FF" w:rsidRDefault="000F5490">
      <w:pPr>
        <w:pStyle w:val="Jheading3"/>
        <w:keepNext w:val="0"/>
        <w:numPr>
          <w:ilvl w:val="2"/>
          <w:numId w:val="33"/>
        </w:numPr>
        <w:suppressAutoHyphens/>
        <w:spacing w:afterLines="100"/>
        <w:ind w:left="2275"/>
        <w:rPr>
          <w:sz w:val="24"/>
          <w:szCs w:val="24"/>
        </w:rPr>
      </w:pPr>
      <w:r w:rsidRPr="00B460EE">
        <w:rPr>
          <w:sz w:val="24"/>
          <w:szCs w:val="24"/>
        </w:rPr>
        <w:t>Access (including the terms and conditions of such access as well as access provided through regulatory requirements) to facilities, or Telecommunication Services or related products for which duplication is effectively prevented or difficult to achieve due to technical or economic considerations (including economies of scale and scope, early or first mover advantages and access to a developed distribution or sales network).  Access to facilities, or Telecommunication Services or related products, of Entities found to have Market Power in Relevant Markets may be imposed by the TRA on regulated terms and conditions and this may reduce the barriers to entry to related downstream markets;</w:t>
      </w:r>
    </w:p>
    <w:p w:rsidR="00F448FF" w:rsidRDefault="000F5490">
      <w:pPr>
        <w:pStyle w:val="Jheading3"/>
        <w:keepNext w:val="0"/>
        <w:numPr>
          <w:ilvl w:val="2"/>
          <w:numId w:val="33"/>
        </w:numPr>
        <w:suppressAutoHyphens/>
        <w:spacing w:afterLines="100"/>
        <w:ind w:left="2275"/>
        <w:rPr>
          <w:sz w:val="24"/>
          <w:szCs w:val="24"/>
        </w:rPr>
      </w:pPr>
      <w:r w:rsidRPr="00B460EE">
        <w:rPr>
          <w:sz w:val="24"/>
          <w:szCs w:val="24"/>
        </w:rPr>
        <w:t xml:space="preserve">Access to capital markets and financial resources (a new entrant may find it more difficult than an established Entity to attract </w:t>
      </w:r>
      <w:r w:rsidRPr="00B460EE">
        <w:rPr>
          <w:sz w:val="24"/>
          <w:szCs w:val="24"/>
        </w:rPr>
        <w:lastRenderedPageBreak/>
        <w:t>investment and secure loans);</w:t>
      </w:r>
    </w:p>
    <w:p w:rsidR="00F448FF" w:rsidRDefault="000F5490">
      <w:pPr>
        <w:pStyle w:val="Jheading3"/>
        <w:keepNext w:val="0"/>
        <w:numPr>
          <w:ilvl w:val="2"/>
          <w:numId w:val="33"/>
        </w:numPr>
        <w:suppressAutoHyphens/>
        <w:spacing w:afterLines="100"/>
        <w:ind w:left="2275"/>
        <w:rPr>
          <w:sz w:val="24"/>
          <w:szCs w:val="24"/>
        </w:rPr>
      </w:pPr>
      <w:r w:rsidRPr="00B460EE">
        <w:rPr>
          <w:sz w:val="24"/>
          <w:szCs w:val="24"/>
        </w:rPr>
        <w:t>Availability of scarce resources (such as spectrum);</w:t>
      </w:r>
    </w:p>
    <w:p w:rsidR="00F448FF" w:rsidRDefault="000F5490">
      <w:pPr>
        <w:pStyle w:val="Jheading3"/>
        <w:keepNext w:val="0"/>
        <w:numPr>
          <w:ilvl w:val="2"/>
          <w:numId w:val="33"/>
        </w:numPr>
        <w:suppressAutoHyphens/>
        <w:spacing w:afterLines="100"/>
        <w:ind w:left="2275"/>
        <w:rPr>
          <w:sz w:val="24"/>
          <w:szCs w:val="24"/>
        </w:rPr>
      </w:pPr>
      <w:r w:rsidRPr="00B460EE">
        <w:rPr>
          <w:sz w:val="24"/>
          <w:szCs w:val="24"/>
        </w:rPr>
        <w:t>Regulatory and legal constraints (including patents, the requirement for a license, license obligations, price controls and any universal service obligations);</w:t>
      </w:r>
    </w:p>
    <w:p w:rsidR="00F448FF" w:rsidRDefault="00C85236" w:rsidP="00A10E49">
      <w:pPr>
        <w:pStyle w:val="Jheading3"/>
        <w:keepNext w:val="0"/>
        <w:numPr>
          <w:ilvl w:val="2"/>
          <w:numId w:val="33"/>
        </w:numPr>
        <w:suppressAutoHyphens/>
        <w:spacing w:afterLines="100"/>
        <w:ind w:left="2275"/>
        <w:rPr>
          <w:sz w:val="24"/>
          <w:szCs w:val="24"/>
        </w:rPr>
      </w:pPr>
      <w:r>
        <w:rPr>
          <w:sz w:val="24"/>
          <w:szCs w:val="24"/>
        </w:rPr>
        <w:t xml:space="preserve">Barriers to entry as described in section </w:t>
      </w:r>
      <w:r w:rsidR="004E0E95">
        <w:rPr>
          <w:sz w:val="24"/>
          <w:szCs w:val="24"/>
        </w:rPr>
        <w:fldChar w:fldCharType="begin"/>
      </w:r>
      <w:r>
        <w:rPr>
          <w:sz w:val="24"/>
          <w:szCs w:val="24"/>
        </w:rPr>
        <w:instrText xml:space="preserve"> REF _Ref271797345 \r \h </w:instrText>
      </w:r>
      <w:r w:rsidR="004E0E95">
        <w:rPr>
          <w:sz w:val="24"/>
          <w:szCs w:val="24"/>
        </w:rPr>
      </w:r>
      <w:r w:rsidR="004E0E95">
        <w:rPr>
          <w:sz w:val="24"/>
          <w:szCs w:val="24"/>
        </w:rPr>
        <w:fldChar w:fldCharType="separate"/>
      </w:r>
      <w:r w:rsidR="00D36817">
        <w:rPr>
          <w:sz w:val="24"/>
          <w:szCs w:val="24"/>
          <w:cs/>
        </w:rPr>
        <w:t>‎</w:t>
      </w:r>
      <w:r w:rsidR="00D36817">
        <w:rPr>
          <w:sz w:val="24"/>
          <w:szCs w:val="24"/>
        </w:rPr>
        <w:t>8.15.3</w:t>
      </w:r>
      <w:r w:rsidR="004E0E95">
        <w:rPr>
          <w:sz w:val="24"/>
          <w:szCs w:val="24"/>
        </w:rPr>
        <w:fldChar w:fldCharType="end"/>
      </w:r>
      <w:r>
        <w:rPr>
          <w:sz w:val="24"/>
          <w:szCs w:val="24"/>
        </w:rPr>
        <w:t xml:space="preserve"> of these guidelines</w:t>
      </w:r>
      <w:r w:rsidR="000F5490">
        <w:rPr>
          <w:sz w:val="24"/>
          <w:szCs w:val="24"/>
        </w:rPr>
        <w:t>;</w:t>
      </w:r>
    </w:p>
    <w:p w:rsidR="00F448FF" w:rsidRDefault="000F5490" w:rsidP="00A10E49">
      <w:pPr>
        <w:pStyle w:val="Jheading3"/>
        <w:keepNext w:val="0"/>
        <w:numPr>
          <w:ilvl w:val="2"/>
          <w:numId w:val="33"/>
        </w:numPr>
        <w:suppressAutoHyphens/>
        <w:spacing w:afterLines="100"/>
        <w:ind w:left="2275"/>
        <w:rPr>
          <w:sz w:val="24"/>
          <w:szCs w:val="24"/>
        </w:rPr>
      </w:pPr>
      <w:r w:rsidRPr="00B460EE">
        <w:rPr>
          <w:sz w:val="24"/>
          <w:szCs w:val="24"/>
        </w:rPr>
        <w:t xml:space="preserve">Customer switching costs (as described in Article </w:t>
      </w:r>
      <w:r w:rsidR="004E0E95" w:rsidRPr="00B460EE">
        <w:rPr>
          <w:sz w:val="24"/>
          <w:szCs w:val="24"/>
        </w:rPr>
        <w:fldChar w:fldCharType="begin"/>
      </w:r>
      <w:r w:rsidRPr="00B460EE">
        <w:rPr>
          <w:sz w:val="24"/>
          <w:szCs w:val="24"/>
        </w:rPr>
        <w:instrText xml:space="preserve"> REF _Ref266802032 \r \h </w:instrText>
      </w:r>
      <w:r w:rsidR="004E0E95" w:rsidRPr="00B460EE">
        <w:rPr>
          <w:sz w:val="24"/>
          <w:szCs w:val="24"/>
        </w:rPr>
      </w:r>
      <w:r w:rsidR="004E0E95" w:rsidRPr="00B460EE">
        <w:rPr>
          <w:sz w:val="24"/>
          <w:szCs w:val="24"/>
        </w:rPr>
        <w:fldChar w:fldCharType="separate"/>
      </w:r>
      <w:r w:rsidR="00D36817">
        <w:rPr>
          <w:sz w:val="24"/>
          <w:szCs w:val="24"/>
          <w:cs/>
        </w:rPr>
        <w:t>‎</w:t>
      </w:r>
      <w:r w:rsidR="00D36817">
        <w:rPr>
          <w:sz w:val="24"/>
          <w:szCs w:val="24"/>
        </w:rPr>
        <w:t>8.11</w:t>
      </w:r>
      <w:r w:rsidR="004E0E95" w:rsidRPr="00B460EE">
        <w:rPr>
          <w:sz w:val="24"/>
          <w:szCs w:val="24"/>
        </w:rPr>
        <w:fldChar w:fldCharType="end"/>
      </w:r>
      <w:r w:rsidRPr="00B460EE">
        <w:rPr>
          <w:sz w:val="24"/>
          <w:szCs w:val="24"/>
        </w:rPr>
        <w:t>); and</w:t>
      </w:r>
    </w:p>
    <w:p w:rsidR="00F448FF" w:rsidRDefault="000F5490">
      <w:pPr>
        <w:pStyle w:val="Jheading3"/>
        <w:keepNext w:val="0"/>
        <w:numPr>
          <w:ilvl w:val="2"/>
          <w:numId w:val="33"/>
        </w:numPr>
        <w:suppressAutoHyphens/>
        <w:spacing w:afterLines="100"/>
        <w:ind w:left="2275"/>
        <w:rPr>
          <w:sz w:val="24"/>
          <w:szCs w:val="24"/>
        </w:rPr>
      </w:pPr>
      <w:r w:rsidRPr="00B460EE">
        <w:rPr>
          <w:sz w:val="24"/>
          <w:szCs w:val="24"/>
        </w:rPr>
        <w:t>Network effects</w:t>
      </w:r>
      <w:r w:rsidRPr="00B460EE">
        <w:rPr>
          <w:rStyle w:val="FootnoteReference"/>
          <w:sz w:val="24"/>
          <w:szCs w:val="24"/>
        </w:rPr>
        <w:footnoteReference w:id="13"/>
      </w:r>
      <w:r w:rsidRPr="00B460EE">
        <w:rPr>
          <w:sz w:val="24"/>
          <w:szCs w:val="24"/>
        </w:rPr>
        <w:t>.</w:t>
      </w:r>
    </w:p>
    <w:p w:rsidR="000F5490" w:rsidRPr="00B460EE" w:rsidRDefault="000F5490" w:rsidP="00890CF3">
      <w:pPr>
        <w:pStyle w:val="Heading2"/>
        <w:numPr>
          <w:ilvl w:val="1"/>
          <w:numId w:val="33"/>
        </w:numPr>
        <w:spacing w:after="240"/>
        <w:jc w:val="both"/>
        <w:rPr>
          <w:lang w:val="en-GB"/>
        </w:rPr>
      </w:pPr>
      <w:r w:rsidRPr="00B460EE">
        <w:rPr>
          <w:lang w:val="en-GB"/>
        </w:rPr>
        <w:t>The TRA holds the view that the relevant timeframe for assessing potential competition in a Relevant Market should be based on the likelihood that the Relevant Market may become:</w:t>
      </w:r>
    </w:p>
    <w:p w:rsidR="000F5490" w:rsidRPr="00B460EE" w:rsidRDefault="000F5490" w:rsidP="005415DB">
      <w:pPr>
        <w:pStyle w:val="Heading2"/>
        <w:numPr>
          <w:ilvl w:val="2"/>
          <w:numId w:val="33"/>
        </w:numPr>
        <w:spacing w:after="240"/>
        <w:jc w:val="both"/>
        <w:rPr>
          <w:lang w:val="en-GB"/>
        </w:rPr>
      </w:pPr>
      <w:r w:rsidRPr="00B460EE">
        <w:rPr>
          <w:lang w:val="en-GB"/>
        </w:rPr>
        <w:t>Effectively competitive</w:t>
      </w:r>
      <w:r>
        <w:rPr>
          <w:lang w:val="en-GB"/>
        </w:rPr>
        <w:t xml:space="preserve"> </w:t>
      </w:r>
      <w:r w:rsidRPr="00B460EE">
        <w:rPr>
          <w:lang w:val="en-GB"/>
        </w:rPr>
        <w:t>- in which case a one (1) year time period is the relevant timeframe; or</w:t>
      </w:r>
    </w:p>
    <w:p w:rsidR="000F5490" w:rsidRDefault="000F5490" w:rsidP="006546E1">
      <w:pPr>
        <w:pStyle w:val="Heading2"/>
        <w:numPr>
          <w:ilvl w:val="2"/>
          <w:numId w:val="33"/>
        </w:numPr>
        <w:spacing w:after="240"/>
        <w:jc w:val="both"/>
        <w:rPr>
          <w:lang w:val="en-GB"/>
        </w:rPr>
      </w:pPr>
      <w:proofErr w:type="gramStart"/>
      <w:r w:rsidRPr="00B460EE">
        <w:rPr>
          <w:lang w:val="en-GB"/>
        </w:rPr>
        <w:t>Prospectively competitive - in which case the TRA may also consider likely developments beyond the initial one (1) year timeframe for up to a further one (1) year.</w:t>
      </w:r>
      <w:proofErr w:type="gramEnd"/>
    </w:p>
    <w:p w:rsidR="000F5490" w:rsidRPr="00B460EE" w:rsidRDefault="000F5490" w:rsidP="002C314E">
      <w:pPr>
        <w:pStyle w:val="Jheading2"/>
        <w:keepNext/>
        <w:widowControl w:val="0"/>
        <w:suppressAutoHyphens/>
        <w:spacing w:afterLines="100" w:line="260" w:lineRule="atLeast"/>
        <w:ind w:left="1440" w:hanging="720"/>
        <w:jc w:val="both"/>
        <w:outlineLvl w:val="2"/>
      </w:pPr>
      <w:bookmarkStart w:id="73" w:name="_Ref261528816"/>
      <w:bookmarkStart w:id="74" w:name="_Toc261602983"/>
      <w:r w:rsidRPr="00B460EE">
        <w:t>Analysis of other competitive constraints</w:t>
      </w:r>
      <w:bookmarkEnd w:id="73"/>
      <w:bookmarkEnd w:id="74"/>
      <w:r w:rsidRPr="00B460EE">
        <w:t xml:space="preserve"> in a Relevant Market</w:t>
      </w:r>
    </w:p>
    <w:p w:rsidR="000F5490" w:rsidRPr="00B460EE" w:rsidRDefault="000F5490" w:rsidP="00205544">
      <w:pPr>
        <w:pStyle w:val="Heading2"/>
        <w:numPr>
          <w:ilvl w:val="1"/>
          <w:numId w:val="33"/>
        </w:numPr>
        <w:spacing w:after="240"/>
        <w:jc w:val="both"/>
        <w:rPr>
          <w:lang w:val="en-GB"/>
        </w:rPr>
      </w:pPr>
      <w:bookmarkStart w:id="75" w:name="_Ref261858148"/>
      <w:r w:rsidRPr="00B460EE">
        <w:rPr>
          <w:lang w:val="en-GB"/>
        </w:rPr>
        <w:t xml:space="preserve">The TRA will also consider other competitive constraints in a Relevant Market such as countervailing buyer power. This is the ability of buyers to exercise Market Power and influence prices particularly through direct negotiation.  Countervailing </w:t>
      </w:r>
      <w:r>
        <w:rPr>
          <w:lang w:val="en-GB"/>
        </w:rPr>
        <w:t xml:space="preserve">buyer </w:t>
      </w:r>
      <w:r w:rsidRPr="00B460EE">
        <w:rPr>
          <w:lang w:val="en-GB"/>
        </w:rPr>
        <w:t>power can limit an Entity’s Market Power because it reduces the ability of the Entity to increase prices. For example, if one buyer accounts for a significant proportion of demand for an Entity’s Telecommunication Service or related product it may be able to influence the price and/or the terms and conditions of the provision of that product or service. The TRA will assess the following conditions which may enhance countervailing buyer power:</w:t>
      </w:r>
      <w:bookmarkEnd w:id="75"/>
    </w:p>
    <w:p w:rsidR="00F448FF" w:rsidRDefault="000F5490">
      <w:pPr>
        <w:pStyle w:val="Jheading3"/>
        <w:keepNext w:val="0"/>
        <w:numPr>
          <w:ilvl w:val="2"/>
          <w:numId w:val="33"/>
        </w:numPr>
        <w:suppressAutoHyphens/>
        <w:spacing w:afterLines="100"/>
        <w:ind w:left="2275"/>
        <w:rPr>
          <w:sz w:val="24"/>
          <w:szCs w:val="24"/>
        </w:rPr>
      </w:pPr>
      <w:r w:rsidRPr="00B460EE">
        <w:rPr>
          <w:sz w:val="24"/>
          <w:szCs w:val="24"/>
        </w:rPr>
        <w:t xml:space="preserve">Availability of a range other Telecommunication Services or related products and the extent to which the buyer is well-informed of this range (where a buyer is well-informed of </w:t>
      </w:r>
      <w:r w:rsidRPr="00B460EE">
        <w:rPr>
          <w:sz w:val="24"/>
          <w:szCs w:val="24"/>
        </w:rPr>
        <w:lastRenderedPageBreak/>
        <w:t xml:space="preserve">alternatives, the buyer is more likely to be able to influence the price of the Telecommunication Service or related product); </w:t>
      </w:r>
    </w:p>
    <w:p w:rsidR="00F448FF" w:rsidRDefault="000F5490">
      <w:pPr>
        <w:pStyle w:val="Jheading3"/>
        <w:keepNext w:val="0"/>
        <w:numPr>
          <w:ilvl w:val="2"/>
          <w:numId w:val="33"/>
        </w:numPr>
        <w:suppressAutoHyphens/>
        <w:spacing w:afterLines="100"/>
        <w:ind w:left="2275"/>
        <w:rPr>
          <w:sz w:val="24"/>
          <w:szCs w:val="24"/>
        </w:rPr>
      </w:pPr>
      <w:r w:rsidRPr="00B460EE">
        <w:rPr>
          <w:sz w:val="24"/>
          <w:szCs w:val="24"/>
        </w:rPr>
        <w:t xml:space="preserve">Cost of switching </w:t>
      </w:r>
      <w:r>
        <w:rPr>
          <w:sz w:val="24"/>
          <w:szCs w:val="24"/>
        </w:rPr>
        <w:t xml:space="preserve">between Entities </w:t>
      </w:r>
      <w:r w:rsidRPr="00B460EE">
        <w:rPr>
          <w:sz w:val="24"/>
          <w:szCs w:val="24"/>
        </w:rPr>
        <w:t>(if the cost of switching is low then the degree of countervailing buyer power may be stronger);</w:t>
      </w:r>
    </w:p>
    <w:p w:rsidR="00F448FF" w:rsidRDefault="000F5490">
      <w:pPr>
        <w:pStyle w:val="Jheading3"/>
        <w:keepNext w:val="0"/>
        <w:numPr>
          <w:ilvl w:val="2"/>
          <w:numId w:val="33"/>
        </w:numPr>
        <w:suppressAutoHyphens/>
        <w:spacing w:afterLines="100"/>
        <w:ind w:left="2275"/>
        <w:rPr>
          <w:sz w:val="24"/>
          <w:szCs w:val="24"/>
        </w:rPr>
      </w:pPr>
      <w:r w:rsidRPr="00B460EE">
        <w:rPr>
          <w:sz w:val="24"/>
          <w:szCs w:val="24"/>
        </w:rPr>
        <w:t>Ability of the buyer to produce the Telecommunication Service or related product themselves; and</w:t>
      </w:r>
    </w:p>
    <w:p w:rsidR="00F448FF" w:rsidRDefault="000F5490">
      <w:pPr>
        <w:pStyle w:val="Jheading3"/>
        <w:keepNext w:val="0"/>
        <w:numPr>
          <w:ilvl w:val="2"/>
          <w:numId w:val="33"/>
        </w:numPr>
        <w:suppressAutoHyphens/>
        <w:spacing w:afterLines="100"/>
        <w:ind w:left="2274"/>
        <w:rPr>
          <w:sz w:val="24"/>
          <w:szCs w:val="24"/>
        </w:rPr>
      </w:pPr>
      <w:r w:rsidRPr="00B460EE">
        <w:rPr>
          <w:sz w:val="24"/>
          <w:szCs w:val="24"/>
        </w:rPr>
        <w:t>Evidence of a limited number of alternative buyers of the Telecommunication Service or related product (if the Entity is dependent on a small number of buyers – or if buyers are able to co-ordinate their purchasing decisions – then this can increase countervailing buyer power).</w:t>
      </w:r>
    </w:p>
    <w:p w:rsidR="000F5490" w:rsidRPr="00B460EE" w:rsidRDefault="000F5490" w:rsidP="00987DD8">
      <w:pPr>
        <w:pStyle w:val="Jheading2"/>
        <w:keepNext/>
        <w:widowControl w:val="0"/>
        <w:suppressAutoHyphens/>
        <w:spacing w:afterLines="100" w:line="260" w:lineRule="atLeast"/>
        <w:ind w:left="1440" w:hanging="720"/>
        <w:jc w:val="both"/>
        <w:outlineLvl w:val="2"/>
      </w:pPr>
      <w:bookmarkStart w:id="76" w:name="_Toc261602984"/>
      <w:r w:rsidRPr="00B460EE">
        <w:t>Assessment of Market Power</w:t>
      </w:r>
      <w:bookmarkEnd w:id="76"/>
      <w:r w:rsidRPr="00B460EE">
        <w:t xml:space="preserve">  </w:t>
      </w:r>
    </w:p>
    <w:p w:rsidR="000F5490" w:rsidRPr="00B460EE" w:rsidRDefault="000F5490" w:rsidP="002F1D5A">
      <w:pPr>
        <w:pStyle w:val="Heading2"/>
        <w:numPr>
          <w:ilvl w:val="1"/>
          <w:numId w:val="33"/>
        </w:numPr>
        <w:spacing w:after="240"/>
        <w:jc w:val="both"/>
        <w:rPr>
          <w:lang w:val="en-GB"/>
        </w:rPr>
      </w:pPr>
      <w:r w:rsidRPr="00B460EE">
        <w:rPr>
          <w:bCs/>
          <w:lang w:val="en-GB"/>
        </w:rPr>
        <w:t>The Competition Safeguards define the concept of Market Power as “</w:t>
      </w:r>
      <w:r w:rsidR="00987DD8">
        <w:rPr>
          <w:lang w:val="en-GB"/>
        </w:rPr>
        <w:t>a position of economic strength enjoyed by an Entity</w:t>
      </w:r>
      <w:r w:rsidR="002F1D5A">
        <w:rPr>
          <w:lang w:val="en-GB"/>
        </w:rPr>
        <w:t>, either individually or jointly with others,</w:t>
      </w:r>
      <w:r w:rsidR="00987DD8">
        <w:rPr>
          <w:lang w:val="en-GB"/>
        </w:rPr>
        <w:t xml:space="preserve"> which enables it to behave to an appreciable extent independently of its competitors, customers, and ultimately consumers.</w:t>
      </w:r>
      <w:proofErr w:type="gramStart"/>
      <w:r w:rsidRPr="00B460EE">
        <w:rPr>
          <w:bCs/>
          <w:lang w:val="en-GB"/>
        </w:rPr>
        <w:t>”.</w:t>
      </w:r>
      <w:proofErr w:type="gramEnd"/>
      <w:r w:rsidRPr="00B460EE">
        <w:rPr>
          <w:bCs/>
          <w:lang w:val="en-GB"/>
        </w:rPr>
        <w:t xml:space="preserve"> </w:t>
      </w:r>
    </w:p>
    <w:p w:rsidR="000F5490" w:rsidRPr="00B460EE" w:rsidRDefault="000F5490" w:rsidP="002F1D5A">
      <w:pPr>
        <w:pStyle w:val="Heading2"/>
        <w:numPr>
          <w:ilvl w:val="1"/>
          <w:numId w:val="33"/>
        </w:numPr>
        <w:spacing w:after="240"/>
        <w:jc w:val="both"/>
        <w:rPr>
          <w:lang w:val="en-GB"/>
        </w:rPr>
      </w:pPr>
      <w:r w:rsidRPr="00B460EE">
        <w:rPr>
          <w:bCs/>
          <w:lang w:val="en-GB"/>
        </w:rPr>
        <w:t xml:space="preserve">Where Market Power is held </w:t>
      </w:r>
      <w:r w:rsidR="002F1D5A">
        <w:rPr>
          <w:bCs/>
          <w:lang w:val="en-GB"/>
        </w:rPr>
        <w:t xml:space="preserve">individually </w:t>
      </w:r>
      <w:r w:rsidRPr="00B460EE">
        <w:rPr>
          <w:bCs/>
          <w:lang w:val="en-GB"/>
        </w:rPr>
        <w:t>by a single Entity, this is</w:t>
      </w:r>
      <w:r w:rsidR="002F1D5A">
        <w:rPr>
          <w:bCs/>
          <w:lang w:val="en-GB"/>
        </w:rPr>
        <w:t xml:space="preserve"> generally</w:t>
      </w:r>
      <w:r w:rsidRPr="00B460EE">
        <w:rPr>
          <w:bCs/>
          <w:lang w:val="en-GB"/>
        </w:rPr>
        <w:t xml:space="preserve"> referred to as unilateral Market Power in a Relevant Market. </w:t>
      </w:r>
    </w:p>
    <w:p w:rsidR="000F5490" w:rsidRPr="00B460EE" w:rsidRDefault="000F5490" w:rsidP="002F1D5A">
      <w:pPr>
        <w:pStyle w:val="Heading2"/>
        <w:numPr>
          <w:ilvl w:val="1"/>
          <w:numId w:val="33"/>
        </w:numPr>
        <w:spacing w:after="240"/>
        <w:jc w:val="both"/>
        <w:rPr>
          <w:lang w:val="en-GB"/>
        </w:rPr>
      </w:pPr>
      <w:r w:rsidRPr="00B460EE">
        <w:rPr>
          <w:bCs/>
          <w:lang w:val="en-GB"/>
        </w:rPr>
        <w:t>In addition to one Entity holding Market Power, it is possible that more than one Entity could jointly hold Market Power</w:t>
      </w:r>
      <w:r w:rsidR="002F1D5A">
        <w:rPr>
          <w:bCs/>
          <w:lang w:val="en-GB"/>
        </w:rPr>
        <w:t>. This is generally referred to as collective Market Power in a Relevant Market</w:t>
      </w:r>
      <w:r w:rsidRPr="00B460EE">
        <w:rPr>
          <w:bCs/>
          <w:lang w:val="en-GB"/>
        </w:rPr>
        <w:t xml:space="preserve">. The TRA will assess the existence of </w:t>
      </w:r>
      <w:r w:rsidR="00987DD8">
        <w:rPr>
          <w:bCs/>
          <w:lang w:val="en-GB"/>
        </w:rPr>
        <w:t>c</w:t>
      </w:r>
      <w:r w:rsidRPr="00B460EE">
        <w:rPr>
          <w:bCs/>
          <w:lang w:val="en-GB"/>
        </w:rPr>
        <w:t>ollective Market Power in a Relevant Market by examining further whether the conditions exist for the Entities to tacitly collude</w:t>
      </w:r>
      <w:r w:rsidRPr="00B460EE">
        <w:rPr>
          <w:rStyle w:val="FootnoteReference"/>
          <w:bCs/>
          <w:lang w:val="en-GB"/>
        </w:rPr>
        <w:footnoteReference w:id="14"/>
      </w:r>
      <w:r w:rsidRPr="00B460EE">
        <w:rPr>
          <w:bCs/>
          <w:lang w:val="en-GB"/>
        </w:rPr>
        <w:t xml:space="preserve"> in order to maintain a market outcome that is not consistent with the outcome that would be expected in a competitive market.  </w:t>
      </w:r>
    </w:p>
    <w:p w:rsidR="000F5490" w:rsidRDefault="000F5490" w:rsidP="00987DD8">
      <w:pPr>
        <w:pStyle w:val="Heading2"/>
        <w:numPr>
          <w:ilvl w:val="1"/>
          <w:numId w:val="33"/>
        </w:numPr>
        <w:spacing w:after="240"/>
        <w:jc w:val="both"/>
        <w:rPr>
          <w:lang w:val="en-GB"/>
        </w:rPr>
      </w:pPr>
      <w:r w:rsidRPr="00B460EE">
        <w:rPr>
          <w:lang w:val="en-GB"/>
        </w:rPr>
        <w:t xml:space="preserve">In order to assess the existence of </w:t>
      </w:r>
      <w:r w:rsidR="00987DD8">
        <w:rPr>
          <w:lang w:val="en-GB"/>
        </w:rPr>
        <w:t>c</w:t>
      </w:r>
      <w:r w:rsidRPr="00B460EE">
        <w:rPr>
          <w:lang w:val="en-GB"/>
        </w:rPr>
        <w:t xml:space="preserve">ollective Market Power in a Relevant Market, the TRA will consider, in addition to the factors determining the overall level of competition described above, whether the conditions in the market are conducive to the existence of </w:t>
      </w:r>
      <w:r w:rsidR="00987DD8">
        <w:rPr>
          <w:lang w:val="en-GB"/>
        </w:rPr>
        <w:t>c</w:t>
      </w:r>
      <w:r w:rsidRPr="00B460EE">
        <w:rPr>
          <w:lang w:val="en-GB"/>
        </w:rPr>
        <w:t>ollective Market Power. These factors are explained in more detail below.</w:t>
      </w:r>
    </w:p>
    <w:p w:rsidR="00F448FF" w:rsidRDefault="000F5490">
      <w:pPr>
        <w:pStyle w:val="Heading3"/>
        <w:numPr>
          <w:ilvl w:val="2"/>
          <w:numId w:val="33"/>
        </w:numPr>
        <w:suppressAutoHyphens/>
        <w:spacing w:afterLines="100"/>
        <w:ind w:left="2274"/>
        <w:rPr>
          <w:sz w:val="24"/>
          <w:szCs w:val="24"/>
        </w:rPr>
      </w:pPr>
      <w:r w:rsidRPr="00B460EE">
        <w:rPr>
          <w:sz w:val="24"/>
          <w:szCs w:val="24"/>
        </w:rPr>
        <w:t>Potential incentives to collude</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 xml:space="preserve">The incentive to tacitly collude will be stronger where there are </w:t>
      </w:r>
      <w:r w:rsidRPr="00B460EE">
        <w:rPr>
          <w:b w:val="0"/>
          <w:bCs w:val="0"/>
          <w:sz w:val="24"/>
          <w:szCs w:val="24"/>
        </w:rPr>
        <w:lastRenderedPageBreak/>
        <w:t>few players with relatively similar Market Shares and in relatively stable or mature markets.</w:t>
      </w:r>
    </w:p>
    <w:p w:rsidR="00F448FF" w:rsidRDefault="000F5490">
      <w:pPr>
        <w:pStyle w:val="Heading3"/>
        <w:numPr>
          <w:ilvl w:val="2"/>
          <w:numId w:val="33"/>
        </w:numPr>
        <w:suppressAutoHyphens/>
        <w:spacing w:afterLines="100"/>
        <w:ind w:left="2274"/>
        <w:rPr>
          <w:sz w:val="24"/>
          <w:szCs w:val="24"/>
        </w:rPr>
      </w:pPr>
      <w:r w:rsidRPr="00B460EE">
        <w:rPr>
          <w:sz w:val="24"/>
          <w:szCs w:val="24"/>
        </w:rPr>
        <w:t>Ability to collude</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Factors that facilitate the maintenance of a (tacitly) collusive agreement include transparent and simple pricing structures and levels.</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Other factors include repeated interactions between competing Entities, the level of homogeneity of Telecommunication Services or related products, the existence of similarities between competing Entities in terms of cost structures or resources, and structural links between competing Entities.</w:t>
      </w:r>
    </w:p>
    <w:p w:rsidR="00F448FF" w:rsidRDefault="000F5490">
      <w:pPr>
        <w:pStyle w:val="Heading3"/>
        <w:numPr>
          <w:ilvl w:val="2"/>
          <w:numId w:val="33"/>
        </w:numPr>
        <w:suppressAutoHyphens/>
        <w:spacing w:afterLines="100"/>
        <w:ind w:left="2274"/>
        <w:rPr>
          <w:sz w:val="24"/>
          <w:szCs w:val="24"/>
        </w:rPr>
      </w:pPr>
      <w:r w:rsidRPr="00B460EE">
        <w:rPr>
          <w:sz w:val="24"/>
          <w:szCs w:val="24"/>
        </w:rPr>
        <w:t>Availability and credibility of punishment for deviating from a tacit agreement</w:t>
      </w:r>
    </w:p>
    <w:p w:rsidR="00F448FF" w:rsidRDefault="000F5490">
      <w:pPr>
        <w:pStyle w:val="Heading3"/>
        <w:keepNext w:val="0"/>
        <w:tabs>
          <w:tab w:val="clear" w:pos="2280"/>
        </w:tabs>
        <w:suppressAutoHyphens/>
        <w:spacing w:afterLines="100"/>
        <w:ind w:left="2275" w:firstLine="0"/>
        <w:rPr>
          <w:b w:val="0"/>
          <w:bCs w:val="0"/>
          <w:sz w:val="24"/>
          <w:szCs w:val="24"/>
        </w:rPr>
      </w:pPr>
      <w:r w:rsidRPr="00B460EE">
        <w:rPr>
          <w:b w:val="0"/>
          <w:bCs w:val="0"/>
          <w:sz w:val="24"/>
          <w:szCs w:val="24"/>
        </w:rPr>
        <w:t>If there is no credible punishment strategy (such as the ability to lower prices), Entities would not be able to maintain a tacit agreement.</w:t>
      </w:r>
    </w:p>
    <w:p w:rsidR="000F5490" w:rsidRPr="00B460EE" w:rsidRDefault="000F5490" w:rsidP="00987DD8">
      <w:pPr>
        <w:pStyle w:val="Heading2"/>
        <w:numPr>
          <w:ilvl w:val="1"/>
          <w:numId w:val="33"/>
        </w:numPr>
        <w:spacing w:after="240"/>
        <w:jc w:val="both"/>
        <w:rPr>
          <w:lang w:val="en-GB"/>
        </w:rPr>
      </w:pPr>
      <w:r w:rsidRPr="00B460EE">
        <w:rPr>
          <w:lang w:val="en-GB"/>
        </w:rPr>
        <w:t xml:space="preserve">The TRA will combine the analysis of actual competition, potential competition and other competitive constraints to determine whether an Entity holds unilateral Market Power or whether any Entities hold </w:t>
      </w:r>
      <w:r w:rsidR="00987DD8">
        <w:rPr>
          <w:lang w:val="en-GB"/>
        </w:rPr>
        <w:t>c</w:t>
      </w:r>
      <w:r w:rsidRPr="000F5490">
        <w:rPr>
          <w:lang w:val="en-GB"/>
        </w:rPr>
        <w:t>ollective Market Power</w:t>
      </w:r>
      <w:r w:rsidR="00D1422C" w:rsidRPr="00D1422C">
        <w:rPr>
          <w:i/>
          <w:lang w:val="en-GB"/>
        </w:rPr>
        <w:t xml:space="preserve"> </w:t>
      </w:r>
      <w:r w:rsidRPr="00B460EE">
        <w:rPr>
          <w:lang w:val="en-GB"/>
        </w:rPr>
        <w:t>in a Relevant Market.</w:t>
      </w:r>
    </w:p>
    <w:p w:rsidR="000F5490" w:rsidRPr="00B460EE" w:rsidRDefault="000F5490"/>
    <w:sectPr w:rsidR="000F5490" w:rsidRPr="00B460EE" w:rsidSect="002F5B6B">
      <w:headerReference w:type="default" r:id="rId11"/>
      <w:footerReference w:type="default" r:id="rId12"/>
      <w:headerReference w:type="first" r:id="rId13"/>
      <w:footerReference w:type="first" r:id="rId14"/>
      <w:pgSz w:w="11909" w:h="16834" w:code="9"/>
      <w:pgMar w:top="1354" w:right="1296" w:bottom="1080" w:left="1440" w:header="288"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C89" w:rsidRDefault="00F14C89">
      <w:r>
        <w:separator/>
      </w:r>
    </w:p>
  </w:endnote>
  <w:endnote w:type="continuationSeparator" w:id="1">
    <w:p w:rsidR="00F14C89" w:rsidRDefault="00F14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89" w:rsidRDefault="00F14C89" w:rsidP="009F11CE">
    <w:pPr>
      <w:pStyle w:val="Footer"/>
      <w:tabs>
        <w:tab w:val="clear" w:pos="4320"/>
        <w:tab w:val="clear" w:pos="8640"/>
        <w:tab w:val="right" w:pos="9180"/>
      </w:tabs>
      <w:jc w:val="center"/>
      <w:rPr>
        <w:rtl/>
        <w:lang w:bidi="ar-AE"/>
      </w:rPr>
    </w:pPr>
    <w:r w:rsidRPr="009F11CE">
      <w:rPr>
        <w:sz w:val="20"/>
        <w:szCs w:val="20"/>
      </w:rPr>
      <w:t xml:space="preserve">- </w:t>
    </w:r>
    <w:r w:rsidR="004E0E95" w:rsidRPr="009F11CE">
      <w:rPr>
        <w:sz w:val="20"/>
        <w:szCs w:val="20"/>
      </w:rPr>
      <w:fldChar w:fldCharType="begin"/>
    </w:r>
    <w:r w:rsidRPr="009F11CE">
      <w:rPr>
        <w:sz w:val="20"/>
        <w:szCs w:val="20"/>
      </w:rPr>
      <w:instrText xml:space="preserve"> PAGE </w:instrText>
    </w:r>
    <w:r w:rsidR="004E0E95" w:rsidRPr="009F11CE">
      <w:rPr>
        <w:sz w:val="20"/>
        <w:szCs w:val="20"/>
      </w:rPr>
      <w:fldChar w:fldCharType="separate"/>
    </w:r>
    <w:r w:rsidR="00445C13">
      <w:rPr>
        <w:noProof/>
        <w:sz w:val="20"/>
        <w:szCs w:val="20"/>
      </w:rPr>
      <w:t>24</w:t>
    </w:r>
    <w:r w:rsidR="004E0E95" w:rsidRPr="009F11CE">
      <w:rPr>
        <w:sz w:val="20"/>
        <w:szCs w:val="20"/>
      </w:rPr>
      <w:fldChar w:fldCharType="end"/>
    </w:r>
    <w:r w:rsidRPr="009F11CE">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89" w:rsidRPr="00656990" w:rsidRDefault="00F14C89" w:rsidP="002F5B6B">
    <w:pPr>
      <w:pBdr>
        <w:top w:val="single" w:sz="18" w:space="0" w:color="auto"/>
      </w:pBdr>
      <w:suppressAutoHyphens/>
      <w:jc w:val="center"/>
      <w:rPr>
        <w:sz w:val="18"/>
        <w:szCs w:val="18"/>
      </w:rPr>
    </w:pPr>
  </w:p>
  <w:p w:rsidR="00F14C89" w:rsidRPr="00656990" w:rsidRDefault="00F14C89" w:rsidP="006522FE">
    <w:pPr>
      <w:suppressAutoHyphens/>
      <w:jc w:val="center"/>
      <w:rPr>
        <w:sz w:val="18"/>
        <w:szCs w:val="18"/>
      </w:rPr>
    </w:pPr>
    <w:r w:rsidRPr="00656990">
      <w:rPr>
        <w:sz w:val="18"/>
        <w:szCs w:val="18"/>
      </w:rPr>
      <w:t>Telecommunications Regulatory Autho</w:t>
    </w:r>
    <w:r>
      <w:rPr>
        <w:sz w:val="18"/>
        <w:szCs w:val="18"/>
      </w:rPr>
      <w:t>rity (TRA</w:t>
    </w:r>
    <w:proofErr w:type="gramStart"/>
    <w:r>
      <w:rPr>
        <w:sz w:val="18"/>
        <w:szCs w:val="18"/>
      </w:rPr>
      <w:t>)</w:t>
    </w:r>
    <w:proofErr w:type="gramEnd"/>
    <w:r w:rsidRPr="00656990">
      <w:rPr>
        <w:sz w:val="18"/>
        <w:szCs w:val="18"/>
      </w:rPr>
      <w:br/>
    </w:r>
    <w:smartTag w:uri="urn:schemas-microsoft-com:office:smarttags" w:element="address">
      <w:smartTag w:uri="urn:schemas-microsoft-com:office:smarttags" w:element="Street">
        <w:smartTag w:uri="urn:schemas-microsoft-com:office:smarttags" w:element="country-region">
          <w:smartTag w:uri="urn:schemas-microsoft-com:office:smarttags" w:element="Street">
            <w:smartTag w:uri="urn:schemas-microsoft-com:office:smarttags" w:element="address">
              <w:smartTag w:uri="urn:schemas-microsoft-com:office:smarttags" w:element="country-region">
                <w:r w:rsidRPr="00656990">
                  <w:rPr>
                    <w:sz w:val="18"/>
                    <w:szCs w:val="18"/>
                  </w:rPr>
                  <w:t>P O Box 26662</w:t>
                </w:r>
              </w:smartTag>
            </w:smartTag>
          </w:smartTag>
          <w:r w:rsidRPr="00656990">
            <w:rPr>
              <w:sz w:val="18"/>
              <w:szCs w:val="18"/>
            </w:rPr>
            <w:t xml:space="preserve">, </w:t>
          </w:r>
          <w:smartTag w:uri="urn:schemas-microsoft-com:office:smarttags" w:element="City">
            <w:smartTag w:uri="urn:schemas-microsoft-com:office:smarttags" w:element="country-region">
              <w:r w:rsidRPr="00656990">
                <w:rPr>
                  <w:sz w:val="18"/>
                  <w:szCs w:val="18"/>
                </w:rPr>
                <w:t>Abu Dhabi</w:t>
              </w:r>
            </w:smartTag>
          </w:smartTag>
          <w:r w:rsidRPr="00656990">
            <w:rPr>
              <w:sz w:val="18"/>
              <w:szCs w:val="18"/>
            </w:rPr>
            <w:t xml:space="preserve">, </w:t>
          </w:r>
          <w:smartTag w:uri="urn:schemas-microsoft-com:office:smarttags" w:element="country-region">
            <w:r w:rsidRPr="00656990">
              <w:rPr>
                <w:sz w:val="18"/>
                <w:szCs w:val="18"/>
              </w:rPr>
              <w:t>United Arab Emirates</w:t>
            </w:r>
          </w:smartTag>
        </w:smartTag>
      </w:smartTag>
    </w:smartTag>
    <w:r w:rsidRPr="00656990">
      <w:rPr>
        <w:sz w:val="18"/>
        <w:szCs w:val="18"/>
      </w:rPr>
      <w:t xml:space="preserve"> (UAE</w:t>
    </w:r>
    <w:r>
      <w:rPr>
        <w:sz w:val="18"/>
        <w:szCs w:val="18"/>
      </w:rPr>
      <w:t>)</w:t>
    </w:r>
    <w:r w:rsidRPr="00656990">
      <w:rPr>
        <w:sz w:val="18"/>
        <w:szCs w:val="18"/>
      </w:rPr>
      <w:br/>
    </w:r>
    <w:hyperlink r:id="rId1" w:history="1">
      <w:r w:rsidRPr="0071094C">
        <w:rPr>
          <w:rStyle w:val="Hyperlink"/>
          <w:rFonts w:cs="Arial"/>
          <w:sz w:val="18"/>
          <w:szCs w:val="18"/>
        </w:rPr>
        <w:t>www.tra.gov.ae</w:t>
      </w:r>
    </w:hyperlink>
  </w:p>
  <w:p w:rsidR="00F14C89" w:rsidRPr="00656990" w:rsidRDefault="00F14C89" w:rsidP="00333D3B">
    <w:pPr>
      <w:pBdr>
        <w:bottom w:val="single" w:sz="18" w:space="1" w:color="auto"/>
      </w:pBdr>
      <w:suppressAutoHyphens/>
      <w:rPr>
        <w:sz w:val="18"/>
        <w:szCs w:val="18"/>
      </w:rPr>
    </w:pPr>
  </w:p>
  <w:p w:rsidR="00F14C89" w:rsidRPr="00C84651" w:rsidRDefault="00F14C89" w:rsidP="005A53BD">
    <w:pPr>
      <w:pStyle w:val="Footer"/>
      <w:tabs>
        <w:tab w:val="clear" w:pos="4320"/>
        <w:tab w:val="clear" w:pos="8640"/>
        <w:tab w:val="right" w:pos="9180"/>
      </w:tabs>
      <w:rPr>
        <w:sz w:val="20"/>
        <w:szCs w:val="20"/>
      </w:rPr>
    </w:pPr>
  </w:p>
  <w:p w:rsidR="00F14C89" w:rsidRDefault="00F14C89" w:rsidP="005A53BD">
    <w:pPr>
      <w:pStyle w:val="Footer"/>
      <w:tabs>
        <w:tab w:val="clear" w:pos="4320"/>
        <w:tab w:val="clear" w:pos="8640"/>
        <w:tab w:val="right" w:pos="9180"/>
      </w:tabs>
      <w:rPr>
        <w:sz w:val="20"/>
        <w:szCs w:val="20"/>
      </w:rPr>
    </w:pPr>
  </w:p>
  <w:p w:rsidR="00F14C89" w:rsidRDefault="00F14C89" w:rsidP="005A53BD">
    <w:pPr>
      <w:pStyle w:val="Footer"/>
      <w:tabs>
        <w:tab w:val="clear" w:pos="4320"/>
        <w:tab w:val="clear" w:pos="8640"/>
        <w:tab w:val="right" w:pos="9180"/>
      </w:tabs>
      <w:rPr>
        <w:sz w:val="20"/>
        <w:szCs w:val="20"/>
      </w:rPr>
    </w:pPr>
  </w:p>
  <w:p w:rsidR="00F14C89" w:rsidRDefault="00F14C89" w:rsidP="005A53BD">
    <w:pPr>
      <w:pStyle w:val="Footer"/>
      <w:tabs>
        <w:tab w:val="clear" w:pos="4320"/>
        <w:tab w:val="clear" w:pos="8640"/>
        <w:tab w:val="right" w:pos="9180"/>
      </w:tabs>
      <w:rPr>
        <w:sz w:val="20"/>
        <w:szCs w:val="20"/>
      </w:rPr>
    </w:pPr>
  </w:p>
  <w:p w:rsidR="00F14C89" w:rsidRPr="00C84651" w:rsidRDefault="004E0E95" w:rsidP="005A53BD">
    <w:pPr>
      <w:pStyle w:val="Footer"/>
      <w:tabs>
        <w:tab w:val="clear" w:pos="4320"/>
        <w:tab w:val="clear" w:pos="8640"/>
        <w:tab w:val="right" w:pos="9180"/>
      </w:tabs>
      <w:rPr>
        <w:sz w:val="20"/>
        <w:szCs w:val="20"/>
      </w:rPr>
    </w:pPr>
    <w:r w:rsidRPr="004E0E9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1" type="#_x0000_t75" alt="Footer.jpg" style="position:absolute;margin-left:-73.35pt;margin-top:9.3pt;width:590.55pt;height:69.75pt;z-index:251658752;visibility:visible">
          <v:imagedata r:id="rId2" o:title=""/>
          <w10:wrap type="square"/>
        </v:shape>
      </w:pict>
    </w:r>
  </w:p>
  <w:p w:rsidR="00F14C89" w:rsidRPr="00C84651" w:rsidRDefault="00F14C89" w:rsidP="005A53BD">
    <w:pPr>
      <w:pStyle w:val="Footer"/>
      <w:tabs>
        <w:tab w:val="clear" w:pos="4320"/>
        <w:tab w:val="clear" w:pos="8640"/>
        <w:tab w:val="right" w:pos="918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C89" w:rsidRDefault="00F14C89">
      <w:r>
        <w:separator/>
      </w:r>
    </w:p>
  </w:footnote>
  <w:footnote w:type="continuationSeparator" w:id="1">
    <w:p w:rsidR="00F14C89" w:rsidRDefault="00F14C89">
      <w:r>
        <w:continuationSeparator/>
      </w:r>
    </w:p>
  </w:footnote>
  <w:footnote w:id="2">
    <w:p w:rsidR="00F14C89" w:rsidRDefault="00F14C89" w:rsidP="00BA49AE">
      <w:pPr>
        <w:pStyle w:val="FootnoteText"/>
        <w:ind w:left="284" w:hanging="284"/>
      </w:pPr>
      <w:r>
        <w:rPr>
          <w:rStyle w:val="FootnoteReference"/>
        </w:rPr>
        <w:footnoteRef/>
      </w:r>
      <w:r>
        <w:tab/>
        <w:t>The amendments made on 30 September 2010 are to clarify certain definitions.</w:t>
      </w:r>
    </w:p>
  </w:footnote>
  <w:footnote w:id="3">
    <w:p w:rsidR="00F14C89" w:rsidRDefault="00F14C89">
      <w:pPr>
        <w:pStyle w:val="FootnoteText"/>
        <w:tabs>
          <w:tab w:val="left" w:pos="284"/>
        </w:tabs>
        <w:suppressAutoHyphens/>
        <w:ind w:left="284" w:hanging="284"/>
        <w:jc w:val="both"/>
      </w:pPr>
      <w:r>
        <w:rPr>
          <w:rStyle w:val="FootnoteReference"/>
        </w:rPr>
        <w:footnoteRef/>
      </w:r>
      <w:r>
        <w:t xml:space="preserve"> </w:t>
      </w:r>
      <w:r>
        <w:tab/>
        <w:t>A</w:t>
      </w:r>
      <w:r w:rsidRPr="00890CF3">
        <w:t xml:space="preserve"> market where no Entity has Market Power</w:t>
      </w:r>
      <w:r>
        <w:t>; i</w:t>
      </w:r>
      <w:r w:rsidRPr="00890CF3">
        <w:t xml:space="preserve">n other words, the competitive conditions are such that no </w:t>
      </w:r>
      <w:r>
        <w:t>E</w:t>
      </w:r>
      <w:r w:rsidRPr="00890CF3">
        <w:t>ntity can behave to an appreciable extent independently of its rivals, customers and ultimately consumers</w:t>
      </w:r>
      <w:r>
        <w:t>.</w:t>
      </w:r>
    </w:p>
    <w:p w:rsidR="00F14C89" w:rsidRDefault="00F14C89">
      <w:pPr>
        <w:pStyle w:val="FootnoteText"/>
        <w:tabs>
          <w:tab w:val="left" w:pos="284"/>
        </w:tabs>
        <w:suppressAutoHyphens/>
        <w:ind w:left="284" w:hanging="284"/>
        <w:jc w:val="both"/>
      </w:pPr>
    </w:p>
  </w:footnote>
  <w:footnote w:id="4">
    <w:p w:rsidR="00F14C89" w:rsidRDefault="00F14C89">
      <w:pPr>
        <w:pStyle w:val="FootnoteText"/>
        <w:suppressAutoHyphens/>
        <w:ind w:left="284" w:hanging="284"/>
        <w:jc w:val="both"/>
      </w:pPr>
      <w:r>
        <w:rPr>
          <w:rStyle w:val="FootnoteReference"/>
        </w:rPr>
        <w:footnoteRef/>
      </w:r>
      <w:r>
        <w:t xml:space="preserve"> </w:t>
      </w:r>
      <w:r>
        <w:tab/>
      </w:r>
      <w:proofErr w:type="gramStart"/>
      <w:r>
        <w:t>A</w:t>
      </w:r>
      <w:r w:rsidRPr="008C6E42">
        <w:t xml:space="preserve"> market where, given the trends observed, it is reasonable to expect that the market could become competitive over a </w:t>
      </w:r>
      <w:r>
        <w:t xml:space="preserve">specified time </w:t>
      </w:r>
      <w:r w:rsidRPr="008C6E42">
        <w:t>period</w:t>
      </w:r>
      <w:r>
        <w:t>.</w:t>
      </w:r>
      <w:proofErr w:type="gramEnd"/>
      <w:r>
        <w:t xml:space="preserve"> </w:t>
      </w:r>
    </w:p>
    <w:p w:rsidR="00F14C89" w:rsidRDefault="00F14C89">
      <w:pPr>
        <w:pStyle w:val="FootnoteText"/>
        <w:suppressAutoHyphens/>
        <w:ind w:left="284" w:hanging="284"/>
        <w:jc w:val="both"/>
      </w:pPr>
    </w:p>
  </w:footnote>
  <w:footnote w:id="5">
    <w:p w:rsidR="00F14C89" w:rsidRDefault="00F14C89">
      <w:pPr>
        <w:pStyle w:val="FootnoteText"/>
        <w:ind w:left="284" w:hanging="284"/>
      </w:pPr>
      <w:r>
        <w:rPr>
          <w:rStyle w:val="FootnoteReference"/>
        </w:rPr>
        <w:footnoteRef/>
      </w:r>
      <w:r>
        <w:t xml:space="preserve"> </w:t>
      </w:r>
      <w:r>
        <w:tab/>
        <w:t>In this context the term “Relevant Markets” means any Relevant Markets which have already been defined at the commencement of the market review exercise.</w:t>
      </w:r>
    </w:p>
  </w:footnote>
  <w:footnote w:id="6">
    <w:p w:rsidR="00F14C89" w:rsidRDefault="00F14C89">
      <w:pPr>
        <w:pStyle w:val="FootnoteText"/>
        <w:suppressAutoHyphens/>
        <w:ind w:left="284" w:hanging="284"/>
        <w:jc w:val="both"/>
      </w:pPr>
      <w:r>
        <w:rPr>
          <w:rStyle w:val="FootnoteReference"/>
        </w:rPr>
        <w:footnoteRef/>
      </w:r>
      <w:r>
        <w:tab/>
        <w:t>The SSNIP test involves examining the ability of a firm acting as a hypothetical monopolist in the market under investigation to profitably sustain a small but significant non-transitory price increase from the competitive price level (typically 5-10% for up to one year). To be able to profitably sustain such a price increase requires there to be no sufficiently close demand-side or supply-side substitutes for the product in question. For example, if following the increase in price from the competitive level, sufficient consumers at the margin instead purchased a substitute product, the price increase may not be profitable. In this case, the relevant market would also include that substitute product. Similarly, if following the price increase suppliers of other services were able over a relatively short period of time (typically considered to be up to one year) to switch to producing the hypothetical monopolist’s product, the price increase might also not be profitable. Again in this case, the market definition should be expanded to include the substitute products.</w:t>
      </w:r>
    </w:p>
  </w:footnote>
  <w:footnote w:id="7">
    <w:p w:rsidR="00F14C89" w:rsidRDefault="00F14C89">
      <w:pPr>
        <w:pStyle w:val="FootnoteText"/>
        <w:suppressAutoHyphens/>
        <w:ind w:left="284" w:hanging="284"/>
        <w:jc w:val="both"/>
      </w:pPr>
      <w:r>
        <w:rPr>
          <w:rStyle w:val="FootnoteReference"/>
        </w:rPr>
        <w:footnoteRef/>
      </w:r>
      <w:r>
        <w:t xml:space="preserve"> </w:t>
      </w:r>
      <w:r>
        <w:tab/>
        <w:t xml:space="preserve">For </w:t>
      </w:r>
      <w:r w:rsidRPr="008D759B">
        <w:rPr>
          <w:i/>
        </w:rPr>
        <w:t>ex post</w:t>
      </w:r>
      <w:r>
        <w:t xml:space="preserve"> purposes, this will include forecasts prepared before and at the time of the alleged anticompetitive conduct.</w:t>
      </w:r>
    </w:p>
  </w:footnote>
  <w:footnote w:id="8">
    <w:p w:rsidR="00F14C89" w:rsidRDefault="00F14C89">
      <w:pPr>
        <w:pStyle w:val="FootnoteText"/>
        <w:suppressAutoHyphens/>
        <w:ind w:left="284" w:hanging="284"/>
        <w:jc w:val="both"/>
      </w:pPr>
      <w:r>
        <w:rPr>
          <w:rStyle w:val="FootnoteReference"/>
        </w:rPr>
        <w:footnoteRef/>
      </w:r>
      <w:r>
        <w:t xml:space="preserve"> </w:t>
      </w:r>
      <w:r>
        <w:tab/>
      </w:r>
      <w:r w:rsidRPr="00DC52CD">
        <w:t>Sunk costs relate to one-off costs that would not be recoverable if an operator were to exit the market.  These may include both network and retail costs</w:t>
      </w:r>
      <w:r>
        <w:t>.</w:t>
      </w:r>
    </w:p>
  </w:footnote>
  <w:footnote w:id="9">
    <w:p w:rsidR="00F14C89" w:rsidRDefault="00F14C89">
      <w:pPr>
        <w:pStyle w:val="FootnoteText"/>
        <w:suppressAutoHyphens/>
        <w:ind w:left="284" w:hanging="284"/>
        <w:jc w:val="both"/>
      </w:pPr>
      <w:r>
        <w:rPr>
          <w:rStyle w:val="FootnoteReference"/>
        </w:rPr>
        <w:footnoteRef/>
      </w:r>
      <w:r>
        <w:tab/>
        <w:t>For example, i</w:t>
      </w:r>
      <w:r w:rsidRPr="00615DA3">
        <w:t xml:space="preserve">n the </w:t>
      </w:r>
      <w:smartTag w:uri="urn:schemas-microsoft-com:office:smarttags" w:element="country-region">
        <w:smartTag w:uri="urn:schemas-microsoft-com:office:smarttags" w:element="place">
          <w:r w:rsidRPr="00615DA3">
            <w:t>UK</w:t>
          </w:r>
        </w:smartTag>
      </w:smartTag>
      <w:r w:rsidRPr="00615DA3">
        <w:t xml:space="preserve"> there are two geographic markets where the relevant mar</w:t>
      </w:r>
      <w:r>
        <w:t>ket for electronic communications services is not defined as national.</w:t>
      </w:r>
      <w:r w:rsidRPr="00615DA3">
        <w:t xml:space="preserve"> One geographic market is </w:t>
      </w:r>
      <w:smartTag w:uri="urn:schemas-microsoft-com:office:smarttags" w:element="City">
        <w:r w:rsidRPr="00615DA3">
          <w:t>Hull</w:t>
        </w:r>
      </w:smartTag>
      <w:r w:rsidRPr="00615DA3">
        <w:t xml:space="preserve"> (</w:t>
      </w:r>
      <w:smartTag w:uri="urn:schemas-microsoft-com:office:smarttags" w:element="City">
        <w:r w:rsidRPr="00615DA3">
          <w:t>Kings</w:t>
        </w:r>
        <w:r>
          <w:t>ton</w:t>
        </w:r>
      </w:smartTag>
      <w:r>
        <w:t xml:space="preserve">) as historically there has </w:t>
      </w:r>
      <w:r w:rsidRPr="00615DA3">
        <w:t>been a legally separate provider of fixed telecommunicat</w:t>
      </w:r>
      <w:r>
        <w:t xml:space="preserve">ions services in the </w:t>
      </w:r>
      <w:smartTag w:uri="urn:schemas-microsoft-com:office:smarttags" w:element="City">
        <w:smartTag w:uri="urn:schemas-microsoft-com:office:smarttags" w:element="place">
          <w:r>
            <w:t>Hull</w:t>
          </w:r>
        </w:smartTag>
      </w:smartTag>
      <w:r>
        <w:t xml:space="preserve"> area.</w:t>
      </w:r>
      <w:r w:rsidRPr="00615DA3">
        <w:t xml:space="preserve"> Further </w:t>
      </w:r>
      <w:proofErr w:type="spellStart"/>
      <w:r w:rsidRPr="00615DA3">
        <w:t>Ofcom</w:t>
      </w:r>
      <w:proofErr w:type="spellEnd"/>
      <w:r w:rsidRPr="00615DA3">
        <w:t xml:space="preserve"> has defined different “local” geographic markets for wholesale broadband access market in the </w:t>
      </w:r>
      <w:smartTag w:uri="urn:schemas-microsoft-com:office:smarttags" w:element="country-region">
        <w:smartTag w:uri="urn:schemas-microsoft-com:office:smarttags" w:element="place">
          <w:r w:rsidRPr="00615DA3">
            <w:t>UK</w:t>
          </w:r>
        </w:smartTag>
      </w:smartTag>
      <w:r w:rsidRPr="00615DA3">
        <w:t xml:space="preserve"> to reflect different competition conditions.</w:t>
      </w:r>
    </w:p>
  </w:footnote>
  <w:footnote w:id="10">
    <w:p w:rsidR="00F14C89" w:rsidRDefault="00F14C89" w:rsidP="001F59D9">
      <w:pPr>
        <w:pStyle w:val="FootnoteText"/>
        <w:suppressAutoHyphens/>
        <w:ind w:left="284" w:hanging="284"/>
        <w:jc w:val="both"/>
        <w:rPr>
          <w:lang w:val="en-US"/>
        </w:rPr>
      </w:pPr>
      <w:r>
        <w:rPr>
          <w:rStyle w:val="FootnoteReference"/>
        </w:rPr>
        <w:footnoteRef/>
      </w:r>
      <w:r>
        <w:t xml:space="preserve"> </w:t>
      </w:r>
      <w:r>
        <w:tab/>
      </w:r>
      <w:r>
        <w:rPr>
          <w:lang w:val="en-US"/>
        </w:rPr>
        <w:t xml:space="preserve">For example, if a retail market is defined as broadly as “voice and mobile calls” then one corresponding wholesale market would likely be defined as fixed and mobile call origination which would have implications for the determination of Market Power.  </w:t>
      </w:r>
    </w:p>
    <w:p w:rsidR="00F14C89" w:rsidRDefault="00F14C89" w:rsidP="001F59D9">
      <w:pPr>
        <w:pStyle w:val="FootnoteText"/>
        <w:suppressAutoHyphens/>
        <w:ind w:left="284" w:hanging="284"/>
        <w:jc w:val="both"/>
      </w:pPr>
    </w:p>
  </w:footnote>
  <w:footnote w:id="11">
    <w:p w:rsidR="00F14C89" w:rsidRDefault="00F14C89" w:rsidP="001F59D9">
      <w:pPr>
        <w:pStyle w:val="FootnoteText"/>
        <w:suppressAutoHyphens/>
        <w:ind w:left="284" w:hanging="284"/>
        <w:jc w:val="both"/>
      </w:pPr>
      <w:r>
        <w:rPr>
          <w:rStyle w:val="FootnoteReference"/>
        </w:rPr>
        <w:footnoteRef/>
      </w:r>
      <w:r>
        <w:t xml:space="preserve">  </w:t>
      </w:r>
      <w:r>
        <w:tab/>
      </w:r>
      <w:r w:rsidRPr="00E62A8F">
        <w:t>For example, if the determination of a retail market for fixed local calls took into account a wholesale product (imposed by regulation) which enable</w:t>
      </w:r>
      <w:r>
        <w:t>d</w:t>
      </w:r>
      <w:r w:rsidRPr="00E62A8F">
        <w:t xml:space="preserve"> mobile operators to switch to offer</w:t>
      </w:r>
      <w:r>
        <w:t>ing</w:t>
      </w:r>
      <w:r w:rsidRPr="00E62A8F">
        <w:t xml:space="preserve"> fixed local calls within a 1 year time frame</w:t>
      </w:r>
      <w:r>
        <w:t>,</w:t>
      </w:r>
      <w:r w:rsidRPr="00E62A8F">
        <w:t xml:space="preserve"> it could lead to a wide market definition that mobile calls are a supply-side substitute for fixed local calls. A competition assessment of </w:t>
      </w:r>
      <w:r>
        <w:t xml:space="preserve">a </w:t>
      </w:r>
      <w:r w:rsidRPr="00E62A8F">
        <w:t xml:space="preserve">market </w:t>
      </w:r>
      <w:r>
        <w:t>defined so widely</w:t>
      </w:r>
      <w:r w:rsidRPr="00E62A8F">
        <w:t xml:space="preserve"> </w:t>
      </w:r>
      <w:r>
        <w:t>could</w:t>
      </w:r>
      <w:r w:rsidRPr="00E62A8F">
        <w:t xml:space="preserve"> lead to a finding of no market power and a remedy removing the regulated wholesale product</w:t>
      </w:r>
      <w:r>
        <w:t>.</w:t>
      </w:r>
    </w:p>
    <w:p w:rsidR="00F14C89" w:rsidRDefault="00F14C89" w:rsidP="008A1E25">
      <w:pPr>
        <w:pStyle w:val="FootnoteText"/>
        <w:suppressAutoHyphens/>
        <w:jc w:val="both"/>
      </w:pPr>
    </w:p>
  </w:footnote>
  <w:footnote w:id="12">
    <w:p w:rsidR="00F14C89" w:rsidRDefault="00F14C89">
      <w:pPr>
        <w:pStyle w:val="FootnoteText"/>
        <w:suppressAutoHyphens/>
        <w:ind w:left="284" w:hanging="284"/>
        <w:jc w:val="both"/>
      </w:pPr>
      <w:r>
        <w:rPr>
          <w:rStyle w:val="FootnoteReference"/>
        </w:rPr>
        <w:footnoteRef/>
      </w:r>
      <w:r>
        <w:t xml:space="preserve"> </w:t>
      </w:r>
      <w:r>
        <w:tab/>
        <w:t xml:space="preserve">Therefore, two or more retail Telecommunications Services or related products are only considered to be supply-side substitutes if this substitution is </w:t>
      </w:r>
      <w:r w:rsidRPr="00B460EE">
        <w:t xml:space="preserve">viable absent </w:t>
      </w:r>
      <w:r>
        <w:t xml:space="preserve">of existing </w:t>
      </w:r>
      <w:r w:rsidRPr="00B460EE">
        <w:t>regulated wholesale inputs</w:t>
      </w:r>
      <w:r>
        <w:t>.</w:t>
      </w:r>
    </w:p>
  </w:footnote>
  <w:footnote w:id="13">
    <w:p w:rsidR="00F14C89" w:rsidRDefault="00F14C89">
      <w:pPr>
        <w:pStyle w:val="FootnoteText"/>
        <w:suppressAutoHyphens/>
        <w:ind w:left="284" w:hanging="284"/>
        <w:jc w:val="both"/>
      </w:pPr>
      <w:r>
        <w:rPr>
          <w:rStyle w:val="FootnoteReference"/>
        </w:rPr>
        <w:footnoteRef/>
      </w:r>
      <w:r>
        <w:tab/>
      </w:r>
      <w:r w:rsidRPr="006716F4">
        <w:t>Network effects relate to how the value to a subscriber of joining a network is higher the larger the size of the network.  Therefore, larger networks may have a competitive advantage over smaller networks where there is no interconnection between the two networks</w:t>
      </w:r>
      <w:r>
        <w:t>.</w:t>
      </w:r>
    </w:p>
    <w:p w:rsidR="00F14C89" w:rsidRDefault="00F14C89" w:rsidP="00BC7EB6">
      <w:pPr>
        <w:pStyle w:val="FootnoteText"/>
        <w:suppressAutoHyphens/>
        <w:jc w:val="both"/>
      </w:pPr>
    </w:p>
  </w:footnote>
  <w:footnote w:id="14">
    <w:p w:rsidR="00F14C89" w:rsidRDefault="00F14C89">
      <w:pPr>
        <w:pStyle w:val="FootnoteText"/>
        <w:suppressAutoHyphens/>
        <w:ind w:left="284" w:hanging="284"/>
        <w:jc w:val="both"/>
      </w:pPr>
      <w:r>
        <w:rPr>
          <w:rStyle w:val="FootnoteReference"/>
        </w:rPr>
        <w:footnoteRef/>
      </w:r>
      <w:r>
        <w:t xml:space="preserve"> </w:t>
      </w:r>
      <w:r>
        <w:tab/>
      </w:r>
      <w:r w:rsidRPr="001937BE">
        <w:rPr>
          <w:bCs/>
        </w:rPr>
        <w:t>Tacit collusion refers to the possibility for Entities to collude without explicit agreement or even communication</w:t>
      </w:r>
      <w:r>
        <w:rPr>
          <w:bCs/>
        </w:rPr>
        <w:t xml:space="preserve"> of their intentions to each other.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89" w:rsidRDefault="004E0E95" w:rsidP="004B1BD6">
    <w:pPr>
      <w:pStyle w:val="Header"/>
      <w:rPr>
        <w:noProof/>
        <w:lang w:val="en-US"/>
      </w:rPr>
    </w:pPr>
    <w:r w:rsidRPr="004E0E9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Header.jpg" style="position:absolute;margin-left:-72.6pt;margin-top:-155.85pt;width:597.3pt;height:113.3pt;z-index:251657728;visibility:visible;mso-position-horizontal-relative:margin;mso-position-vertical-relative:margin">
          <v:imagedata r:id="rId1" o:title=""/>
          <w10:wrap anchorx="margin" anchory="margin"/>
        </v:shape>
      </w:pict>
    </w:r>
  </w:p>
  <w:p w:rsidR="00F14C89" w:rsidRDefault="00F14C89" w:rsidP="004B1BD6">
    <w:pPr>
      <w:pStyle w:val="Header"/>
      <w:rPr>
        <w:noProof/>
        <w:lang w:val="en-US"/>
      </w:rPr>
    </w:pPr>
  </w:p>
  <w:p w:rsidR="00F14C89" w:rsidRDefault="00F14C89" w:rsidP="004B1BD6">
    <w:pPr>
      <w:pStyle w:val="Header"/>
    </w:pPr>
  </w:p>
  <w:p w:rsidR="00F14C89" w:rsidRDefault="00F14C89" w:rsidP="004B1BD6">
    <w:pPr>
      <w:pStyle w:val="Header"/>
    </w:pPr>
  </w:p>
  <w:p w:rsidR="00F14C89" w:rsidRDefault="00F14C89" w:rsidP="004B1BD6">
    <w:pPr>
      <w:pStyle w:val="Header"/>
    </w:pPr>
  </w:p>
  <w:p w:rsidR="00F14C89" w:rsidRDefault="00F14C89" w:rsidP="004B1BD6">
    <w:pPr>
      <w:pStyle w:val="Header"/>
    </w:pPr>
  </w:p>
  <w:p w:rsidR="00F14C89" w:rsidRDefault="00F14C89" w:rsidP="004B1BD6">
    <w:pPr>
      <w:pStyle w:val="Header"/>
    </w:pPr>
  </w:p>
  <w:p w:rsidR="00F14C89" w:rsidRDefault="00F14C89" w:rsidP="004B1BD6">
    <w:pPr>
      <w:pStyle w:val="Header"/>
    </w:pPr>
  </w:p>
  <w:p w:rsidR="00F14C89" w:rsidRPr="00415060" w:rsidRDefault="00F14C89" w:rsidP="00D66351">
    <w:pPr>
      <w:rPr>
        <w:b/>
        <w:bCs/>
        <w:sz w:val="18"/>
        <w:szCs w:val="18"/>
      </w:rPr>
    </w:pPr>
    <w:r w:rsidRPr="00415060">
      <w:rPr>
        <w:b/>
        <w:bCs/>
        <w:sz w:val="18"/>
        <w:szCs w:val="18"/>
      </w:rPr>
      <w:t xml:space="preserve">Market </w:t>
    </w:r>
    <w:r>
      <w:rPr>
        <w:b/>
        <w:bCs/>
        <w:sz w:val="18"/>
        <w:szCs w:val="18"/>
      </w:rPr>
      <w:t>D</w:t>
    </w:r>
    <w:r w:rsidRPr="00415060">
      <w:rPr>
        <w:b/>
        <w:bCs/>
        <w:sz w:val="18"/>
        <w:szCs w:val="18"/>
      </w:rPr>
      <w:t xml:space="preserve">efinition and </w:t>
    </w:r>
    <w:r>
      <w:rPr>
        <w:b/>
        <w:bCs/>
        <w:sz w:val="18"/>
        <w:szCs w:val="18"/>
      </w:rPr>
      <w:t>C</w:t>
    </w:r>
    <w:r w:rsidRPr="00415060">
      <w:rPr>
        <w:b/>
        <w:bCs/>
        <w:sz w:val="18"/>
        <w:szCs w:val="18"/>
      </w:rPr>
      <w:t xml:space="preserve">ompetition </w:t>
    </w:r>
    <w:r>
      <w:rPr>
        <w:b/>
        <w:bCs/>
        <w:sz w:val="18"/>
        <w:szCs w:val="18"/>
      </w:rPr>
      <w:t>A</w:t>
    </w:r>
    <w:r w:rsidRPr="00415060">
      <w:rPr>
        <w:b/>
        <w:bCs/>
        <w:sz w:val="18"/>
        <w:szCs w:val="18"/>
      </w:rPr>
      <w:t xml:space="preserve">ssessment </w:t>
    </w:r>
    <w:r>
      <w:rPr>
        <w:b/>
        <w:bCs/>
        <w:sz w:val="18"/>
        <w:szCs w:val="18"/>
      </w:rPr>
      <w:t>G</w:t>
    </w:r>
    <w:r w:rsidRPr="00415060">
      <w:rPr>
        <w:b/>
        <w:bCs/>
        <w:sz w:val="18"/>
        <w:szCs w:val="18"/>
      </w:rPr>
      <w:t>uidelines</w:t>
    </w:r>
    <w:r>
      <w:rPr>
        <w:b/>
        <w:bCs/>
        <w:sz w:val="18"/>
        <w:szCs w:val="18"/>
      </w:rPr>
      <w:t xml:space="preserve"> Version 1.0,</w:t>
    </w:r>
  </w:p>
  <w:p w:rsidR="00F14C89" w:rsidRDefault="00F14C89" w:rsidP="00BA49AE">
    <w:pPr>
      <w:rPr>
        <w:b/>
        <w:bCs/>
        <w:sz w:val="18"/>
        <w:szCs w:val="18"/>
      </w:rPr>
    </w:pPr>
    <w:r>
      <w:rPr>
        <w:b/>
        <w:bCs/>
        <w:sz w:val="18"/>
        <w:szCs w:val="18"/>
      </w:rPr>
      <w:t xml:space="preserve"> </w:t>
    </w:r>
    <w:r w:rsidRPr="00B11619">
      <w:rPr>
        <w:b/>
        <w:bCs/>
        <w:sz w:val="18"/>
        <w:szCs w:val="18"/>
      </w:rPr>
      <w:t>Issued</w:t>
    </w:r>
    <w:r>
      <w:rPr>
        <w:b/>
        <w:bCs/>
        <w:sz w:val="18"/>
        <w:szCs w:val="18"/>
      </w:rPr>
      <w:t xml:space="preserve"> </w:t>
    </w:r>
    <w:r>
      <w:rPr>
        <w:b/>
        <w:sz w:val="18"/>
      </w:rPr>
      <w:t>30</w:t>
    </w:r>
    <w:r>
      <w:rPr>
        <w:b/>
        <w:bCs/>
        <w:sz w:val="18"/>
        <w:szCs w:val="18"/>
      </w:rPr>
      <w:t xml:space="preserve"> September 2010</w:t>
    </w:r>
  </w:p>
  <w:p w:rsidR="00F14C89" w:rsidRDefault="00F14C89" w:rsidP="004B1BD6">
    <w:pPr>
      <w:rPr>
        <w:b/>
        <w:bCs/>
        <w:sz w:val="18"/>
        <w:szCs w:val="18"/>
      </w:rPr>
    </w:pPr>
  </w:p>
  <w:p w:rsidR="00F14C89" w:rsidRPr="004B1BD6" w:rsidRDefault="00F14C89" w:rsidP="004B1BD6">
    <w:pPr>
      <w:rPr>
        <w:b/>
        <w:bC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89" w:rsidRPr="007E54F2" w:rsidRDefault="004E0E95">
    <w:pPr>
      <w:pStyle w:val="Header"/>
    </w:pPr>
    <w:r w:rsidRPr="004E0E9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Header.jpg" style="position:absolute;margin-left:-73.35pt;margin-top:-78.45pt;width:597.1pt;height:113.3pt;z-index:251656704;visibility:visible;mso-position-horizontal-relative:margin;mso-position-vertical-relative:margin">
          <v:imagedata r:id="rId1" o:title=""/>
          <w10:wrap type="square" anchorx="margin" anchory="margin"/>
        </v:shape>
      </w:pict>
    </w:r>
  </w:p>
  <w:p w:rsidR="00F14C89" w:rsidRPr="007E54F2" w:rsidRDefault="00F14C89">
    <w:pPr>
      <w:pStyle w:val="Header"/>
    </w:pPr>
  </w:p>
  <w:p w:rsidR="00F14C89" w:rsidRDefault="00F14C89">
    <w:pPr>
      <w:pStyle w:val="Header"/>
    </w:pPr>
  </w:p>
  <w:p w:rsidR="00F14C89" w:rsidRPr="007E54F2" w:rsidRDefault="00F14C89">
    <w:pPr>
      <w:pStyle w:val="Header"/>
    </w:pPr>
  </w:p>
  <w:p w:rsidR="00F14C89" w:rsidRPr="007E54F2" w:rsidRDefault="00F14C89" w:rsidP="00333D3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A600414"/>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A6A805B4"/>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879C1658"/>
    <w:lvl w:ilvl="0">
      <w:start w:val="1"/>
      <w:numFmt w:val="bullet"/>
      <w:lvlText w:val=""/>
      <w:lvlJc w:val="left"/>
      <w:pPr>
        <w:tabs>
          <w:tab w:val="num" w:pos="360"/>
        </w:tabs>
        <w:ind w:left="360" w:hanging="360"/>
      </w:pPr>
      <w:rPr>
        <w:rFonts w:ascii="Symbol" w:hAnsi="Symbol" w:hint="default"/>
      </w:rPr>
    </w:lvl>
  </w:abstractNum>
  <w:abstractNum w:abstractNumId="3">
    <w:nsid w:val="049271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05FA650A"/>
    <w:multiLevelType w:val="multilevel"/>
    <w:tmpl w:val="A7D88064"/>
    <w:lvl w:ilvl="0">
      <w:start w:val="1"/>
      <w:numFmt w:val="decimal"/>
      <w:lvlText w:val="%1."/>
      <w:lvlJc w:val="left"/>
      <w:pPr>
        <w:tabs>
          <w:tab w:val="num" w:pos="720"/>
        </w:tabs>
        <w:ind w:left="72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1440"/>
        </w:tabs>
        <w:ind w:left="144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2">
      <w:start w:val="1"/>
      <w:numFmt w:val="bullet"/>
      <w:lvlText w:val=""/>
      <w:lvlJc w:val="left"/>
      <w:pPr>
        <w:tabs>
          <w:tab w:val="num" w:pos="1680"/>
        </w:tabs>
        <w:ind w:left="1793" w:hanging="113"/>
      </w:pPr>
      <w:rPr>
        <w:rFonts w:ascii="Symbol" w:hAnsi="Symbol" w:hint="default"/>
        <w:b/>
        <w:i w:val="0"/>
        <w:caps w:val="0"/>
        <w:strike w:val="0"/>
        <w:dstrike w:val="0"/>
        <w:outline w:val="0"/>
        <w:shadow w:val="0"/>
        <w:emboss w:val="0"/>
        <w:imprint w:val="0"/>
        <w:vanish w:val="0"/>
        <w:sz w:val="24"/>
        <w:vertAlign w:val="baseline"/>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240"/>
        </w:tabs>
        <w:ind w:left="2952" w:hanging="792"/>
      </w:pPr>
      <w:rPr>
        <w:rFonts w:ascii="Symbol" w:hAnsi="Symbol"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5">
    <w:nsid w:val="16782502"/>
    <w:multiLevelType w:val="multilevel"/>
    <w:tmpl w:val="06869FAC"/>
    <w:lvl w:ilvl="0">
      <w:start w:val="1"/>
      <w:numFmt w:val="decimal"/>
      <w:lvlText w:val="%1."/>
      <w:lvlJc w:val="left"/>
      <w:pPr>
        <w:tabs>
          <w:tab w:val="num" w:pos="720"/>
        </w:tabs>
        <w:ind w:left="72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1440"/>
        </w:tabs>
        <w:ind w:left="144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2">
      <w:start w:val="1"/>
      <w:numFmt w:val="bullet"/>
      <w:lvlText w:val=""/>
      <w:lvlJc w:val="left"/>
      <w:pPr>
        <w:tabs>
          <w:tab w:val="num" w:pos="1680"/>
        </w:tabs>
        <w:ind w:left="1793" w:hanging="113"/>
      </w:pPr>
      <w:rPr>
        <w:rFonts w:ascii="Symbol" w:hAnsi="Symbol" w:hint="default"/>
        <w:b/>
        <w:i w:val="0"/>
        <w:caps w:val="0"/>
        <w:strike w:val="0"/>
        <w:dstrike w:val="0"/>
        <w:outline w:val="0"/>
        <w:shadow w:val="0"/>
        <w:emboss w:val="0"/>
        <w:imprint w:val="0"/>
        <w:vanish w:val="0"/>
        <w:sz w:val="24"/>
        <w:vertAlign w:val="baseline"/>
      </w:rPr>
    </w:lvl>
    <w:lvl w:ilvl="3">
      <w:start w:val="1"/>
      <w:numFmt w:val="upperRoman"/>
      <w:lvlText w:val="%4."/>
      <w:lvlJc w:val="right"/>
      <w:pPr>
        <w:tabs>
          <w:tab w:val="num" w:pos="2880"/>
        </w:tabs>
        <w:ind w:left="2880" w:hanging="720"/>
      </w:pPr>
      <w:rPr>
        <w:rFonts w:cs="Times New Roman" w:hint="default"/>
      </w:rPr>
    </w:lvl>
    <w:lvl w:ilvl="4">
      <w:start w:val="1"/>
      <w:numFmt w:val="bullet"/>
      <w:lvlText w:val=""/>
      <w:lvlJc w:val="left"/>
      <w:pPr>
        <w:tabs>
          <w:tab w:val="num" w:pos="3240"/>
        </w:tabs>
        <w:ind w:left="2952" w:hanging="792"/>
      </w:pPr>
      <w:rPr>
        <w:rFonts w:ascii="Symbol" w:hAnsi="Symbol"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6">
    <w:nsid w:val="16F01F08"/>
    <w:multiLevelType w:val="hybridMultilevel"/>
    <w:tmpl w:val="5254D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3D323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54C04EE"/>
    <w:multiLevelType w:val="hybridMultilevel"/>
    <w:tmpl w:val="C0A4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E2A9A"/>
    <w:multiLevelType w:val="multilevel"/>
    <w:tmpl w:val="7F9CF942"/>
    <w:lvl w:ilvl="0">
      <w:start w:val="1"/>
      <w:numFmt w:val="decimal"/>
      <w:lvlText w:val="%1."/>
      <w:lvlJc w:val="left"/>
      <w:pPr>
        <w:tabs>
          <w:tab w:val="num" w:pos="720"/>
        </w:tabs>
        <w:ind w:left="72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1440"/>
        </w:tabs>
        <w:ind w:left="144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2">
      <w:start w:val="1"/>
      <w:numFmt w:val="decimal"/>
      <w:lvlText w:val="%1.%2.%3"/>
      <w:lvlJc w:val="left"/>
      <w:pPr>
        <w:tabs>
          <w:tab w:val="num" w:pos="2280"/>
        </w:tabs>
        <w:ind w:left="2280" w:hanging="720"/>
      </w:pPr>
      <w:rPr>
        <w:rFonts w:ascii="Arial" w:hAnsi="Arial" w:cs="Arial" w:hint="default"/>
        <w:b w:val="0"/>
        <w:bCs w:val="0"/>
        <w:i w:val="0"/>
        <w:iCs w:val="0"/>
        <w:caps w:val="0"/>
        <w:strike w:val="0"/>
        <w:dstrike w:val="0"/>
        <w:outline w:val="0"/>
        <w:shadow w:val="0"/>
        <w:emboss w:val="0"/>
        <w:imprint w:val="0"/>
        <w:vanish w:val="0"/>
        <w:color w:val="auto"/>
        <w:sz w:val="24"/>
        <w:szCs w:val="24"/>
        <w:vertAlign w:val="baseline"/>
      </w:rPr>
    </w:lvl>
    <w:lvl w:ilvl="3">
      <w:start w:val="1"/>
      <w:numFmt w:val="decimal"/>
      <w:lvlText w:val="%4%1.%2.%3."/>
      <w:lvlJc w:val="left"/>
      <w:pPr>
        <w:tabs>
          <w:tab w:val="num" w:pos="2880"/>
        </w:tabs>
        <w:ind w:left="2880" w:hanging="720"/>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10">
    <w:nsid w:val="2CC71D09"/>
    <w:multiLevelType w:val="multilevel"/>
    <w:tmpl w:val="284C50D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10D7E9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DCB5E88"/>
    <w:multiLevelType w:val="hybridMultilevel"/>
    <w:tmpl w:val="4D8A177A"/>
    <w:name w:val="Simmons&amp;Simmons"/>
    <w:lvl w:ilvl="0" w:tplc="5EBE239A">
      <w:start w:val="1"/>
      <w:numFmt w:val="decimal"/>
      <w:lvlText w:val="%1."/>
      <w:lvlJc w:val="left"/>
      <w:pPr>
        <w:tabs>
          <w:tab w:val="num" w:pos="720"/>
        </w:tabs>
        <w:ind w:left="720" w:hanging="360"/>
      </w:pPr>
      <w:rPr>
        <w:rFonts w:cs="Times New Roman" w:hint="default"/>
      </w:rPr>
    </w:lvl>
    <w:lvl w:ilvl="1" w:tplc="4D820228">
      <w:start w:val="1"/>
      <w:numFmt w:val="lowerLetter"/>
      <w:lvlText w:val="%2."/>
      <w:lvlJc w:val="left"/>
      <w:pPr>
        <w:tabs>
          <w:tab w:val="num" w:pos="1440"/>
        </w:tabs>
        <w:ind w:left="1440" w:hanging="360"/>
      </w:pPr>
      <w:rPr>
        <w:rFonts w:cs="Times New Roman"/>
      </w:rPr>
    </w:lvl>
    <w:lvl w:ilvl="2" w:tplc="0742A87E" w:tentative="1">
      <w:start w:val="1"/>
      <w:numFmt w:val="lowerRoman"/>
      <w:lvlText w:val="%3."/>
      <w:lvlJc w:val="right"/>
      <w:pPr>
        <w:tabs>
          <w:tab w:val="num" w:pos="2160"/>
        </w:tabs>
        <w:ind w:left="2160" w:hanging="180"/>
      </w:pPr>
      <w:rPr>
        <w:rFonts w:cs="Times New Roman"/>
      </w:rPr>
    </w:lvl>
    <w:lvl w:ilvl="3" w:tplc="68A8823E" w:tentative="1">
      <w:start w:val="1"/>
      <w:numFmt w:val="decimal"/>
      <w:lvlText w:val="%4."/>
      <w:lvlJc w:val="left"/>
      <w:pPr>
        <w:tabs>
          <w:tab w:val="num" w:pos="2880"/>
        </w:tabs>
        <w:ind w:left="2880" w:hanging="360"/>
      </w:pPr>
      <w:rPr>
        <w:rFonts w:cs="Times New Roman"/>
      </w:rPr>
    </w:lvl>
    <w:lvl w:ilvl="4" w:tplc="00BA40DE" w:tentative="1">
      <w:start w:val="1"/>
      <w:numFmt w:val="lowerLetter"/>
      <w:lvlText w:val="%5."/>
      <w:lvlJc w:val="left"/>
      <w:pPr>
        <w:tabs>
          <w:tab w:val="num" w:pos="3600"/>
        </w:tabs>
        <w:ind w:left="3600" w:hanging="360"/>
      </w:pPr>
      <w:rPr>
        <w:rFonts w:cs="Times New Roman"/>
      </w:rPr>
    </w:lvl>
    <w:lvl w:ilvl="5" w:tplc="F6FA72DC" w:tentative="1">
      <w:start w:val="1"/>
      <w:numFmt w:val="lowerRoman"/>
      <w:lvlText w:val="%6."/>
      <w:lvlJc w:val="right"/>
      <w:pPr>
        <w:tabs>
          <w:tab w:val="num" w:pos="4320"/>
        </w:tabs>
        <w:ind w:left="4320" w:hanging="180"/>
      </w:pPr>
      <w:rPr>
        <w:rFonts w:cs="Times New Roman"/>
      </w:rPr>
    </w:lvl>
    <w:lvl w:ilvl="6" w:tplc="DBC23D06" w:tentative="1">
      <w:start w:val="1"/>
      <w:numFmt w:val="decimal"/>
      <w:lvlText w:val="%7."/>
      <w:lvlJc w:val="left"/>
      <w:pPr>
        <w:tabs>
          <w:tab w:val="num" w:pos="5040"/>
        </w:tabs>
        <w:ind w:left="5040" w:hanging="360"/>
      </w:pPr>
      <w:rPr>
        <w:rFonts w:cs="Times New Roman"/>
      </w:rPr>
    </w:lvl>
    <w:lvl w:ilvl="7" w:tplc="8E4226CC" w:tentative="1">
      <w:start w:val="1"/>
      <w:numFmt w:val="lowerLetter"/>
      <w:lvlText w:val="%8."/>
      <w:lvlJc w:val="left"/>
      <w:pPr>
        <w:tabs>
          <w:tab w:val="num" w:pos="5760"/>
        </w:tabs>
        <w:ind w:left="5760" w:hanging="360"/>
      </w:pPr>
      <w:rPr>
        <w:rFonts w:cs="Times New Roman"/>
      </w:rPr>
    </w:lvl>
    <w:lvl w:ilvl="8" w:tplc="DCC861C0" w:tentative="1">
      <w:start w:val="1"/>
      <w:numFmt w:val="lowerRoman"/>
      <w:lvlText w:val="%9."/>
      <w:lvlJc w:val="right"/>
      <w:pPr>
        <w:tabs>
          <w:tab w:val="num" w:pos="6480"/>
        </w:tabs>
        <w:ind w:left="6480" w:hanging="180"/>
      </w:pPr>
      <w:rPr>
        <w:rFonts w:cs="Times New Roman"/>
      </w:rPr>
    </w:lvl>
  </w:abstractNum>
  <w:abstractNum w:abstractNumId="13">
    <w:nsid w:val="46225A19"/>
    <w:multiLevelType w:val="multilevel"/>
    <w:tmpl w:val="7F9CF942"/>
    <w:lvl w:ilvl="0">
      <w:start w:val="1"/>
      <w:numFmt w:val="decimal"/>
      <w:lvlText w:val="%1."/>
      <w:lvlJc w:val="left"/>
      <w:pPr>
        <w:tabs>
          <w:tab w:val="num" w:pos="720"/>
        </w:tabs>
        <w:ind w:left="72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1440"/>
        </w:tabs>
        <w:ind w:left="144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2">
      <w:start w:val="1"/>
      <w:numFmt w:val="decimal"/>
      <w:lvlText w:val="%1.%2.%3"/>
      <w:lvlJc w:val="left"/>
      <w:pPr>
        <w:tabs>
          <w:tab w:val="num" w:pos="2280"/>
        </w:tabs>
        <w:ind w:left="2280" w:hanging="720"/>
      </w:pPr>
      <w:rPr>
        <w:rFonts w:ascii="Arial" w:hAnsi="Arial" w:cs="Arial" w:hint="default"/>
        <w:b w:val="0"/>
        <w:bCs w:val="0"/>
        <w:i w:val="0"/>
        <w:iCs w:val="0"/>
        <w:caps w:val="0"/>
        <w:strike w:val="0"/>
        <w:dstrike w:val="0"/>
        <w:outline w:val="0"/>
        <w:shadow w:val="0"/>
        <w:emboss w:val="0"/>
        <w:imprint w:val="0"/>
        <w:vanish w:val="0"/>
        <w:color w:val="auto"/>
        <w:sz w:val="24"/>
        <w:szCs w:val="24"/>
        <w:vertAlign w:val="baseline"/>
      </w:rPr>
    </w:lvl>
    <w:lvl w:ilvl="3">
      <w:start w:val="1"/>
      <w:numFmt w:val="decimal"/>
      <w:lvlText w:val="%4%1.%2.%3."/>
      <w:lvlJc w:val="left"/>
      <w:pPr>
        <w:tabs>
          <w:tab w:val="num" w:pos="2880"/>
        </w:tabs>
        <w:ind w:left="2880" w:hanging="720"/>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14">
    <w:nsid w:val="48D37B63"/>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51737CBE"/>
    <w:multiLevelType w:val="hybridMultilevel"/>
    <w:tmpl w:val="BB54226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2A8437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891409C"/>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73BB13AF"/>
    <w:multiLevelType w:val="multilevel"/>
    <w:tmpl w:val="071E6158"/>
    <w:lvl w:ilvl="0">
      <w:start w:val="1"/>
      <w:numFmt w:val="bullet"/>
      <w:pStyle w:val="ListBullet"/>
      <w:lvlText w:val=""/>
      <w:lvlJc w:val="left"/>
      <w:pPr>
        <w:tabs>
          <w:tab w:val="num" w:pos="851"/>
        </w:tabs>
        <w:ind w:left="851" w:hanging="426"/>
      </w:pPr>
      <w:rPr>
        <w:rFonts w:ascii="Wingdings" w:hAnsi="Wingdings" w:hint="default"/>
        <w:b w:val="0"/>
        <w:i w:val="0"/>
        <w:color w:val="E83F35"/>
        <w:sz w:val="28"/>
      </w:rPr>
    </w:lvl>
    <w:lvl w:ilvl="1">
      <w:start w:val="1"/>
      <w:numFmt w:val="bullet"/>
      <w:lvlText w:val=""/>
      <w:lvlJc w:val="left"/>
      <w:pPr>
        <w:tabs>
          <w:tab w:val="num" w:pos="1276"/>
        </w:tabs>
        <w:ind w:left="1276" w:hanging="425"/>
      </w:pPr>
      <w:rPr>
        <w:rFonts w:ascii="Symbol" w:hAnsi="Symbol" w:hint="default"/>
        <w:color w:val="auto"/>
        <w:sz w:val="16"/>
      </w:rPr>
    </w:lvl>
    <w:lvl w:ilvl="2">
      <w:start w:val="1"/>
      <w:numFmt w:val="bullet"/>
      <w:lvlText w:val=""/>
      <w:lvlJc w:val="left"/>
      <w:pPr>
        <w:tabs>
          <w:tab w:val="num" w:pos="1701"/>
        </w:tabs>
        <w:ind w:left="1701" w:hanging="425"/>
      </w:pPr>
      <w:rPr>
        <w:rFonts w:ascii="Wingdings" w:hAnsi="Wingdings" w:hint="default"/>
        <w:color w:val="auto"/>
        <w:sz w:val="16"/>
      </w:rPr>
    </w:lvl>
    <w:lvl w:ilvl="3">
      <w:start w:val="1"/>
      <w:numFmt w:val="bullet"/>
      <w:lvlText w:val=""/>
      <w:lvlJc w:val="left"/>
      <w:pPr>
        <w:tabs>
          <w:tab w:val="num" w:pos="1701"/>
        </w:tabs>
        <w:ind w:left="1701" w:hanging="425"/>
      </w:pPr>
      <w:rPr>
        <w:rFonts w:ascii="Wingdings" w:hAnsi="Wingdings" w:hint="default"/>
        <w:color w:val="auto"/>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76283280"/>
    <w:multiLevelType w:val="multilevel"/>
    <w:tmpl w:val="832827FA"/>
    <w:lvl w:ilvl="0">
      <w:start w:val="1"/>
      <w:numFmt w:val="decimal"/>
      <w:lvlText w:val="%1."/>
      <w:lvlJc w:val="left"/>
      <w:pPr>
        <w:tabs>
          <w:tab w:val="num" w:pos="720"/>
        </w:tabs>
        <w:ind w:left="72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
      <w:numFmt w:val="decimal"/>
      <w:lvlText w:val="%1.%2"/>
      <w:lvlJc w:val="left"/>
      <w:pPr>
        <w:tabs>
          <w:tab w:val="num" w:pos="1440"/>
        </w:tabs>
        <w:ind w:left="144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2">
      <w:start w:val="1"/>
      <w:numFmt w:val="bullet"/>
      <w:lvlText w:val=""/>
      <w:lvlJc w:val="left"/>
      <w:pPr>
        <w:tabs>
          <w:tab w:val="num" w:pos="1680"/>
        </w:tabs>
        <w:ind w:left="1793" w:hanging="113"/>
      </w:pPr>
      <w:rPr>
        <w:rFonts w:ascii="Symbol" w:hAnsi="Symbol" w:hint="default"/>
        <w:b/>
        <w:i w:val="0"/>
        <w:caps w:val="0"/>
        <w:strike w:val="0"/>
        <w:dstrike w:val="0"/>
        <w:outline w:val="0"/>
        <w:shadow w:val="0"/>
        <w:emboss w:val="0"/>
        <w:imprint w:val="0"/>
        <w:vanish w:val="0"/>
        <w:sz w:val="24"/>
        <w:vertAlign w:val="baseline"/>
      </w:rPr>
    </w:lvl>
    <w:lvl w:ilvl="3">
      <w:start w:val="1"/>
      <w:numFmt w:val="decimal"/>
      <w:lvlText w:val="%1.%2.%3."/>
      <w:lvlJc w:val="left"/>
      <w:pPr>
        <w:tabs>
          <w:tab w:val="num" w:pos="2880"/>
        </w:tabs>
        <w:ind w:left="2880" w:hanging="720"/>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20">
    <w:nsid w:val="797F57B2"/>
    <w:multiLevelType w:val="multilevel"/>
    <w:tmpl w:val="1996DA9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pStyle w:val="Style2"/>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nsid w:val="7F117B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1"/>
  </w:num>
  <w:num w:numId="14">
    <w:abstractNumId w:val="0"/>
  </w:num>
  <w:num w:numId="15">
    <w:abstractNumId w:val="2"/>
  </w:num>
  <w:num w:numId="16">
    <w:abstractNumId w:val="1"/>
  </w:num>
  <w:num w:numId="17">
    <w:abstractNumId w:val="0"/>
  </w:num>
  <w:num w:numId="18">
    <w:abstractNumId w:val="2"/>
  </w:num>
  <w:num w:numId="19">
    <w:abstractNumId w:val="2"/>
  </w:num>
  <w:num w:numId="20">
    <w:abstractNumId w:val="3"/>
  </w:num>
  <w:num w:numId="21">
    <w:abstractNumId w:val="20"/>
  </w:num>
  <w:num w:numId="22">
    <w:abstractNumId w:val="9"/>
  </w:num>
  <w:num w:numId="23">
    <w:abstractNumId w:val="18"/>
  </w:num>
  <w:num w:numId="24">
    <w:abstractNumId w:val="4"/>
  </w:num>
  <w:num w:numId="25">
    <w:abstractNumId w:val="19"/>
  </w:num>
  <w:num w:numId="26">
    <w:abstractNumId w:val="15"/>
  </w:num>
  <w:num w:numId="27">
    <w:abstractNumId w:val="8"/>
  </w:num>
  <w:num w:numId="28">
    <w:abstractNumId w:val="7"/>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4"/>
  </w:num>
  <w:num w:numId="35">
    <w:abstractNumId w:val="16"/>
  </w:num>
  <w:num w:numId="36">
    <w:abstractNumId w:val="17"/>
  </w:num>
  <w:num w:numId="37">
    <w:abstractNumId w:val="11"/>
  </w:num>
  <w:num w:numId="38">
    <w:abstractNumId w:val="5"/>
  </w:num>
  <w:num w:numId="39">
    <w:abstractNumId w:val="21"/>
  </w:num>
  <w:num w:numId="4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autoHyphenation/>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7561"/>
    <w:rsid w:val="00000107"/>
    <w:rsid w:val="00000717"/>
    <w:rsid w:val="00000795"/>
    <w:rsid w:val="0000237C"/>
    <w:rsid w:val="00002662"/>
    <w:rsid w:val="00002DA7"/>
    <w:rsid w:val="0000353A"/>
    <w:rsid w:val="00003CE5"/>
    <w:rsid w:val="00003D17"/>
    <w:rsid w:val="000047B0"/>
    <w:rsid w:val="00004A7B"/>
    <w:rsid w:val="00004DBB"/>
    <w:rsid w:val="00004E2F"/>
    <w:rsid w:val="0000525C"/>
    <w:rsid w:val="000057DE"/>
    <w:rsid w:val="00005D19"/>
    <w:rsid w:val="00006F57"/>
    <w:rsid w:val="0000720C"/>
    <w:rsid w:val="000077BE"/>
    <w:rsid w:val="00007905"/>
    <w:rsid w:val="000101A6"/>
    <w:rsid w:val="000102D3"/>
    <w:rsid w:val="0001034A"/>
    <w:rsid w:val="000106C8"/>
    <w:rsid w:val="000113B3"/>
    <w:rsid w:val="00012BEB"/>
    <w:rsid w:val="000132D7"/>
    <w:rsid w:val="00015D97"/>
    <w:rsid w:val="00016B0E"/>
    <w:rsid w:val="00017C73"/>
    <w:rsid w:val="00020AFF"/>
    <w:rsid w:val="00020E37"/>
    <w:rsid w:val="00020E97"/>
    <w:rsid w:val="00021009"/>
    <w:rsid w:val="000227BB"/>
    <w:rsid w:val="00022C64"/>
    <w:rsid w:val="00022FF0"/>
    <w:rsid w:val="0002424A"/>
    <w:rsid w:val="00024A39"/>
    <w:rsid w:val="00024E79"/>
    <w:rsid w:val="00025002"/>
    <w:rsid w:val="0002567C"/>
    <w:rsid w:val="0002598C"/>
    <w:rsid w:val="00025A4E"/>
    <w:rsid w:val="00025EE2"/>
    <w:rsid w:val="0002602F"/>
    <w:rsid w:val="000260FE"/>
    <w:rsid w:val="0002761F"/>
    <w:rsid w:val="00027E11"/>
    <w:rsid w:val="00030425"/>
    <w:rsid w:val="00030541"/>
    <w:rsid w:val="00031260"/>
    <w:rsid w:val="0003136E"/>
    <w:rsid w:val="00031DAD"/>
    <w:rsid w:val="00032C8A"/>
    <w:rsid w:val="00033466"/>
    <w:rsid w:val="00033505"/>
    <w:rsid w:val="00033620"/>
    <w:rsid w:val="00034596"/>
    <w:rsid w:val="0003505C"/>
    <w:rsid w:val="00035CEE"/>
    <w:rsid w:val="00035F89"/>
    <w:rsid w:val="00036E60"/>
    <w:rsid w:val="00037290"/>
    <w:rsid w:val="000376A8"/>
    <w:rsid w:val="0004061F"/>
    <w:rsid w:val="00041326"/>
    <w:rsid w:val="00041D07"/>
    <w:rsid w:val="000433A1"/>
    <w:rsid w:val="00043ECF"/>
    <w:rsid w:val="000448EB"/>
    <w:rsid w:val="0004688C"/>
    <w:rsid w:val="00046980"/>
    <w:rsid w:val="00047E11"/>
    <w:rsid w:val="00047F0F"/>
    <w:rsid w:val="00050456"/>
    <w:rsid w:val="00050BE0"/>
    <w:rsid w:val="0005109E"/>
    <w:rsid w:val="0005120A"/>
    <w:rsid w:val="00051D98"/>
    <w:rsid w:val="0005339D"/>
    <w:rsid w:val="00054505"/>
    <w:rsid w:val="0005481C"/>
    <w:rsid w:val="00055D39"/>
    <w:rsid w:val="00055DA5"/>
    <w:rsid w:val="00057097"/>
    <w:rsid w:val="00060AE9"/>
    <w:rsid w:val="00060C7F"/>
    <w:rsid w:val="000633B1"/>
    <w:rsid w:val="000633B5"/>
    <w:rsid w:val="00063B21"/>
    <w:rsid w:val="00064C99"/>
    <w:rsid w:val="000657E9"/>
    <w:rsid w:val="00065EC9"/>
    <w:rsid w:val="00066017"/>
    <w:rsid w:val="00066140"/>
    <w:rsid w:val="0006623A"/>
    <w:rsid w:val="00066659"/>
    <w:rsid w:val="00070454"/>
    <w:rsid w:val="000714C0"/>
    <w:rsid w:val="000717BE"/>
    <w:rsid w:val="00071EA9"/>
    <w:rsid w:val="00073AC1"/>
    <w:rsid w:val="00074C20"/>
    <w:rsid w:val="00074EE7"/>
    <w:rsid w:val="00076097"/>
    <w:rsid w:val="00076187"/>
    <w:rsid w:val="00077E16"/>
    <w:rsid w:val="00080774"/>
    <w:rsid w:val="00081597"/>
    <w:rsid w:val="00081768"/>
    <w:rsid w:val="00081856"/>
    <w:rsid w:val="00081DC4"/>
    <w:rsid w:val="00082C7D"/>
    <w:rsid w:val="00084BDA"/>
    <w:rsid w:val="000856FF"/>
    <w:rsid w:val="00085B6D"/>
    <w:rsid w:val="00085F6B"/>
    <w:rsid w:val="00085FA9"/>
    <w:rsid w:val="00086A25"/>
    <w:rsid w:val="00086FF2"/>
    <w:rsid w:val="00087395"/>
    <w:rsid w:val="00087B54"/>
    <w:rsid w:val="0009066F"/>
    <w:rsid w:val="000915EE"/>
    <w:rsid w:val="00091A0C"/>
    <w:rsid w:val="000933C8"/>
    <w:rsid w:val="000935CB"/>
    <w:rsid w:val="00093D15"/>
    <w:rsid w:val="00093EC8"/>
    <w:rsid w:val="000956BB"/>
    <w:rsid w:val="0009621D"/>
    <w:rsid w:val="00096B80"/>
    <w:rsid w:val="00096F89"/>
    <w:rsid w:val="000977D6"/>
    <w:rsid w:val="000979D7"/>
    <w:rsid w:val="000A0244"/>
    <w:rsid w:val="000A0C3B"/>
    <w:rsid w:val="000A0E92"/>
    <w:rsid w:val="000A0F5D"/>
    <w:rsid w:val="000A1113"/>
    <w:rsid w:val="000A214D"/>
    <w:rsid w:val="000A2938"/>
    <w:rsid w:val="000A2D2F"/>
    <w:rsid w:val="000A34E7"/>
    <w:rsid w:val="000A3594"/>
    <w:rsid w:val="000A3771"/>
    <w:rsid w:val="000A41AD"/>
    <w:rsid w:val="000A6710"/>
    <w:rsid w:val="000A6C54"/>
    <w:rsid w:val="000A705D"/>
    <w:rsid w:val="000B0E4B"/>
    <w:rsid w:val="000B1750"/>
    <w:rsid w:val="000B20B3"/>
    <w:rsid w:val="000B2582"/>
    <w:rsid w:val="000B36B5"/>
    <w:rsid w:val="000B462C"/>
    <w:rsid w:val="000B5218"/>
    <w:rsid w:val="000B65AD"/>
    <w:rsid w:val="000B65EC"/>
    <w:rsid w:val="000B7886"/>
    <w:rsid w:val="000C0D7E"/>
    <w:rsid w:val="000C11D6"/>
    <w:rsid w:val="000C1E9C"/>
    <w:rsid w:val="000C2725"/>
    <w:rsid w:val="000C2F0B"/>
    <w:rsid w:val="000C3138"/>
    <w:rsid w:val="000C329A"/>
    <w:rsid w:val="000C3411"/>
    <w:rsid w:val="000C3417"/>
    <w:rsid w:val="000C4187"/>
    <w:rsid w:val="000C45DB"/>
    <w:rsid w:val="000C4825"/>
    <w:rsid w:val="000C5372"/>
    <w:rsid w:val="000C5A8F"/>
    <w:rsid w:val="000C70C7"/>
    <w:rsid w:val="000C7434"/>
    <w:rsid w:val="000C7528"/>
    <w:rsid w:val="000C7BD3"/>
    <w:rsid w:val="000D017B"/>
    <w:rsid w:val="000D07AC"/>
    <w:rsid w:val="000D0A77"/>
    <w:rsid w:val="000D1246"/>
    <w:rsid w:val="000D1431"/>
    <w:rsid w:val="000D2972"/>
    <w:rsid w:val="000D2CF9"/>
    <w:rsid w:val="000D5178"/>
    <w:rsid w:val="000D626F"/>
    <w:rsid w:val="000D650A"/>
    <w:rsid w:val="000D6650"/>
    <w:rsid w:val="000D685D"/>
    <w:rsid w:val="000D6EF9"/>
    <w:rsid w:val="000E03B1"/>
    <w:rsid w:val="000E12D3"/>
    <w:rsid w:val="000E1577"/>
    <w:rsid w:val="000E17C2"/>
    <w:rsid w:val="000E2AB4"/>
    <w:rsid w:val="000E2C76"/>
    <w:rsid w:val="000E3600"/>
    <w:rsid w:val="000E5574"/>
    <w:rsid w:val="000E58CA"/>
    <w:rsid w:val="000F0B32"/>
    <w:rsid w:val="000F14B3"/>
    <w:rsid w:val="000F266F"/>
    <w:rsid w:val="000F286E"/>
    <w:rsid w:val="000F2A96"/>
    <w:rsid w:val="000F3853"/>
    <w:rsid w:val="000F4087"/>
    <w:rsid w:val="000F5324"/>
    <w:rsid w:val="000F5490"/>
    <w:rsid w:val="000F54B3"/>
    <w:rsid w:val="000F5E24"/>
    <w:rsid w:val="000F6D88"/>
    <w:rsid w:val="000F7398"/>
    <w:rsid w:val="000F74B6"/>
    <w:rsid w:val="00101D35"/>
    <w:rsid w:val="00101F65"/>
    <w:rsid w:val="0010228B"/>
    <w:rsid w:val="001027AC"/>
    <w:rsid w:val="00103243"/>
    <w:rsid w:val="00103622"/>
    <w:rsid w:val="00103750"/>
    <w:rsid w:val="00103DF9"/>
    <w:rsid w:val="0010413E"/>
    <w:rsid w:val="00104B4D"/>
    <w:rsid w:val="0010652B"/>
    <w:rsid w:val="001069FC"/>
    <w:rsid w:val="00107135"/>
    <w:rsid w:val="001101F6"/>
    <w:rsid w:val="00110F13"/>
    <w:rsid w:val="00112A09"/>
    <w:rsid w:val="00112FB9"/>
    <w:rsid w:val="0011361F"/>
    <w:rsid w:val="00114432"/>
    <w:rsid w:val="00114734"/>
    <w:rsid w:val="001159BD"/>
    <w:rsid w:val="00115B01"/>
    <w:rsid w:val="0011727B"/>
    <w:rsid w:val="00120CAC"/>
    <w:rsid w:val="00120D13"/>
    <w:rsid w:val="0012363E"/>
    <w:rsid w:val="00123C72"/>
    <w:rsid w:val="00123CC9"/>
    <w:rsid w:val="001241B9"/>
    <w:rsid w:val="0012435E"/>
    <w:rsid w:val="00124B28"/>
    <w:rsid w:val="001271AE"/>
    <w:rsid w:val="001306A2"/>
    <w:rsid w:val="00131745"/>
    <w:rsid w:val="001325E8"/>
    <w:rsid w:val="001333CD"/>
    <w:rsid w:val="00133E5B"/>
    <w:rsid w:val="001340BB"/>
    <w:rsid w:val="001358EB"/>
    <w:rsid w:val="00136590"/>
    <w:rsid w:val="00136A00"/>
    <w:rsid w:val="00136D73"/>
    <w:rsid w:val="00140080"/>
    <w:rsid w:val="0014099E"/>
    <w:rsid w:val="00140E95"/>
    <w:rsid w:val="00142E86"/>
    <w:rsid w:val="00144262"/>
    <w:rsid w:val="0014435B"/>
    <w:rsid w:val="001443E8"/>
    <w:rsid w:val="0014669B"/>
    <w:rsid w:val="00146808"/>
    <w:rsid w:val="00147335"/>
    <w:rsid w:val="001504CF"/>
    <w:rsid w:val="00152BFA"/>
    <w:rsid w:val="00153FD0"/>
    <w:rsid w:val="00154589"/>
    <w:rsid w:val="00155D39"/>
    <w:rsid w:val="00155F28"/>
    <w:rsid w:val="0015600D"/>
    <w:rsid w:val="00156D3A"/>
    <w:rsid w:val="00157CAD"/>
    <w:rsid w:val="001600C2"/>
    <w:rsid w:val="00160871"/>
    <w:rsid w:val="00160A96"/>
    <w:rsid w:val="00160E16"/>
    <w:rsid w:val="001617B7"/>
    <w:rsid w:val="00161BB8"/>
    <w:rsid w:val="00161FF6"/>
    <w:rsid w:val="00162652"/>
    <w:rsid w:val="00165748"/>
    <w:rsid w:val="00165B3B"/>
    <w:rsid w:val="00165EB3"/>
    <w:rsid w:val="00166D0B"/>
    <w:rsid w:val="00167866"/>
    <w:rsid w:val="00170120"/>
    <w:rsid w:val="00170DAF"/>
    <w:rsid w:val="001735B6"/>
    <w:rsid w:val="001736BC"/>
    <w:rsid w:val="001764C1"/>
    <w:rsid w:val="00176E1D"/>
    <w:rsid w:val="001779ED"/>
    <w:rsid w:val="00180033"/>
    <w:rsid w:val="00180746"/>
    <w:rsid w:val="00181228"/>
    <w:rsid w:val="001815D8"/>
    <w:rsid w:val="00181C75"/>
    <w:rsid w:val="00181D30"/>
    <w:rsid w:val="00182D08"/>
    <w:rsid w:val="001831DB"/>
    <w:rsid w:val="00183C94"/>
    <w:rsid w:val="00183CDF"/>
    <w:rsid w:val="00184D7D"/>
    <w:rsid w:val="001863F7"/>
    <w:rsid w:val="001875E5"/>
    <w:rsid w:val="001878A4"/>
    <w:rsid w:val="001905C1"/>
    <w:rsid w:val="00190A53"/>
    <w:rsid w:val="00191133"/>
    <w:rsid w:val="001911E4"/>
    <w:rsid w:val="00191BAE"/>
    <w:rsid w:val="001928A3"/>
    <w:rsid w:val="00192AC6"/>
    <w:rsid w:val="00193272"/>
    <w:rsid w:val="00193525"/>
    <w:rsid w:val="001937BE"/>
    <w:rsid w:val="00193DC8"/>
    <w:rsid w:val="00194878"/>
    <w:rsid w:val="00194938"/>
    <w:rsid w:val="00194D2E"/>
    <w:rsid w:val="00195354"/>
    <w:rsid w:val="001958C1"/>
    <w:rsid w:val="001A0C3A"/>
    <w:rsid w:val="001A0CB7"/>
    <w:rsid w:val="001A124A"/>
    <w:rsid w:val="001A2089"/>
    <w:rsid w:val="001A31E2"/>
    <w:rsid w:val="001A4410"/>
    <w:rsid w:val="001A5131"/>
    <w:rsid w:val="001A6583"/>
    <w:rsid w:val="001A6709"/>
    <w:rsid w:val="001A7610"/>
    <w:rsid w:val="001A78F9"/>
    <w:rsid w:val="001B0549"/>
    <w:rsid w:val="001B085B"/>
    <w:rsid w:val="001B0DC1"/>
    <w:rsid w:val="001B102A"/>
    <w:rsid w:val="001B18BA"/>
    <w:rsid w:val="001B25DB"/>
    <w:rsid w:val="001B31A9"/>
    <w:rsid w:val="001B3595"/>
    <w:rsid w:val="001B3EBB"/>
    <w:rsid w:val="001B4CAB"/>
    <w:rsid w:val="001B66E4"/>
    <w:rsid w:val="001B6B03"/>
    <w:rsid w:val="001B6FCC"/>
    <w:rsid w:val="001B7A37"/>
    <w:rsid w:val="001C0786"/>
    <w:rsid w:val="001C09BF"/>
    <w:rsid w:val="001C155C"/>
    <w:rsid w:val="001C2C7F"/>
    <w:rsid w:val="001C4F4B"/>
    <w:rsid w:val="001C5C27"/>
    <w:rsid w:val="001C6DF5"/>
    <w:rsid w:val="001C71A1"/>
    <w:rsid w:val="001D0514"/>
    <w:rsid w:val="001D0843"/>
    <w:rsid w:val="001D20DA"/>
    <w:rsid w:val="001D2240"/>
    <w:rsid w:val="001D2297"/>
    <w:rsid w:val="001D25E8"/>
    <w:rsid w:val="001D4C00"/>
    <w:rsid w:val="001D4C1B"/>
    <w:rsid w:val="001D4F72"/>
    <w:rsid w:val="001D50A9"/>
    <w:rsid w:val="001D5A8F"/>
    <w:rsid w:val="001D639D"/>
    <w:rsid w:val="001E014D"/>
    <w:rsid w:val="001E1037"/>
    <w:rsid w:val="001E1726"/>
    <w:rsid w:val="001E185D"/>
    <w:rsid w:val="001E1965"/>
    <w:rsid w:val="001E19B3"/>
    <w:rsid w:val="001E1FAB"/>
    <w:rsid w:val="001E23F3"/>
    <w:rsid w:val="001E2D7F"/>
    <w:rsid w:val="001E4DCB"/>
    <w:rsid w:val="001E6BE1"/>
    <w:rsid w:val="001E7980"/>
    <w:rsid w:val="001F05E9"/>
    <w:rsid w:val="001F0993"/>
    <w:rsid w:val="001F290E"/>
    <w:rsid w:val="001F2CEA"/>
    <w:rsid w:val="001F339A"/>
    <w:rsid w:val="001F44B4"/>
    <w:rsid w:val="001F4E8A"/>
    <w:rsid w:val="001F5257"/>
    <w:rsid w:val="001F5690"/>
    <w:rsid w:val="001F595A"/>
    <w:rsid w:val="001F59D0"/>
    <w:rsid w:val="001F59D9"/>
    <w:rsid w:val="001F66B1"/>
    <w:rsid w:val="001F6981"/>
    <w:rsid w:val="001F7A59"/>
    <w:rsid w:val="00201C64"/>
    <w:rsid w:val="00202BE1"/>
    <w:rsid w:val="002034FC"/>
    <w:rsid w:val="00203B3A"/>
    <w:rsid w:val="00203E01"/>
    <w:rsid w:val="002045EB"/>
    <w:rsid w:val="00205544"/>
    <w:rsid w:val="002059FC"/>
    <w:rsid w:val="00205C6A"/>
    <w:rsid w:val="00205DB5"/>
    <w:rsid w:val="00206160"/>
    <w:rsid w:val="002062EE"/>
    <w:rsid w:val="002078B5"/>
    <w:rsid w:val="002079B2"/>
    <w:rsid w:val="002108DE"/>
    <w:rsid w:val="00211165"/>
    <w:rsid w:val="00211735"/>
    <w:rsid w:val="002117F8"/>
    <w:rsid w:val="00212A0B"/>
    <w:rsid w:val="00213AC9"/>
    <w:rsid w:val="002140E6"/>
    <w:rsid w:val="0021466B"/>
    <w:rsid w:val="00215074"/>
    <w:rsid w:val="00215248"/>
    <w:rsid w:val="00215720"/>
    <w:rsid w:val="002157AE"/>
    <w:rsid w:val="0021650A"/>
    <w:rsid w:val="002174AB"/>
    <w:rsid w:val="00217B97"/>
    <w:rsid w:val="00220A14"/>
    <w:rsid w:val="00220EE8"/>
    <w:rsid w:val="00222261"/>
    <w:rsid w:val="0022227A"/>
    <w:rsid w:val="00222B52"/>
    <w:rsid w:val="00223490"/>
    <w:rsid w:val="00225DDD"/>
    <w:rsid w:val="002262F5"/>
    <w:rsid w:val="00226C07"/>
    <w:rsid w:val="00227E50"/>
    <w:rsid w:val="002300C4"/>
    <w:rsid w:val="0023095A"/>
    <w:rsid w:val="002320C9"/>
    <w:rsid w:val="00232544"/>
    <w:rsid w:val="002353D5"/>
    <w:rsid w:val="00235CDA"/>
    <w:rsid w:val="00236505"/>
    <w:rsid w:val="00236CF7"/>
    <w:rsid w:val="00237D10"/>
    <w:rsid w:val="00240613"/>
    <w:rsid w:val="002408DB"/>
    <w:rsid w:val="00240B3E"/>
    <w:rsid w:val="00240F45"/>
    <w:rsid w:val="00243264"/>
    <w:rsid w:val="00243A83"/>
    <w:rsid w:val="00243E19"/>
    <w:rsid w:val="0024497E"/>
    <w:rsid w:val="00244C00"/>
    <w:rsid w:val="00245D76"/>
    <w:rsid w:val="00246296"/>
    <w:rsid w:val="002467D5"/>
    <w:rsid w:val="00247DBD"/>
    <w:rsid w:val="00250CE0"/>
    <w:rsid w:val="002510FB"/>
    <w:rsid w:val="0025214F"/>
    <w:rsid w:val="00252307"/>
    <w:rsid w:val="0025231B"/>
    <w:rsid w:val="00254BA2"/>
    <w:rsid w:val="002568DC"/>
    <w:rsid w:val="00256AB2"/>
    <w:rsid w:val="00256D5F"/>
    <w:rsid w:val="002572ED"/>
    <w:rsid w:val="00257558"/>
    <w:rsid w:val="00257B8C"/>
    <w:rsid w:val="002601ED"/>
    <w:rsid w:val="00260778"/>
    <w:rsid w:val="0026186B"/>
    <w:rsid w:val="00262587"/>
    <w:rsid w:val="00262C76"/>
    <w:rsid w:val="00262E55"/>
    <w:rsid w:val="00262F66"/>
    <w:rsid w:val="0026564D"/>
    <w:rsid w:val="00267B68"/>
    <w:rsid w:val="002713DA"/>
    <w:rsid w:val="002728C7"/>
    <w:rsid w:val="00273196"/>
    <w:rsid w:val="00273C5C"/>
    <w:rsid w:val="00273EE2"/>
    <w:rsid w:val="00274F31"/>
    <w:rsid w:val="00275BA8"/>
    <w:rsid w:val="00275DC8"/>
    <w:rsid w:val="0028010A"/>
    <w:rsid w:val="002804C2"/>
    <w:rsid w:val="002807EF"/>
    <w:rsid w:val="0028118E"/>
    <w:rsid w:val="002815E3"/>
    <w:rsid w:val="00282651"/>
    <w:rsid w:val="002843F7"/>
    <w:rsid w:val="0028498C"/>
    <w:rsid w:val="00284CAA"/>
    <w:rsid w:val="00285909"/>
    <w:rsid w:val="00285A20"/>
    <w:rsid w:val="00286AAF"/>
    <w:rsid w:val="002873D5"/>
    <w:rsid w:val="00290B16"/>
    <w:rsid w:val="0029151A"/>
    <w:rsid w:val="00291B0E"/>
    <w:rsid w:val="00291BDE"/>
    <w:rsid w:val="00291D2F"/>
    <w:rsid w:val="002938F4"/>
    <w:rsid w:val="00293BEA"/>
    <w:rsid w:val="002974BD"/>
    <w:rsid w:val="00297DC0"/>
    <w:rsid w:val="00297DC5"/>
    <w:rsid w:val="00297FC7"/>
    <w:rsid w:val="002A083E"/>
    <w:rsid w:val="002A0B84"/>
    <w:rsid w:val="002A1651"/>
    <w:rsid w:val="002A25C1"/>
    <w:rsid w:val="002A2683"/>
    <w:rsid w:val="002A2874"/>
    <w:rsid w:val="002A2875"/>
    <w:rsid w:val="002A2FB5"/>
    <w:rsid w:val="002A30CD"/>
    <w:rsid w:val="002A3E6E"/>
    <w:rsid w:val="002A43E1"/>
    <w:rsid w:val="002A509E"/>
    <w:rsid w:val="002A6F04"/>
    <w:rsid w:val="002A72CD"/>
    <w:rsid w:val="002A75AE"/>
    <w:rsid w:val="002A7A7B"/>
    <w:rsid w:val="002A7F34"/>
    <w:rsid w:val="002B0025"/>
    <w:rsid w:val="002B0A86"/>
    <w:rsid w:val="002B28ED"/>
    <w:rsid w:val="002B319E"/>
    <w:rsid w:val="002B390B"/>
    <w:rsid w:val="002B3FF1"/>
    <w:rsid w:val="002B53A9"/>
    <w:rsid w:val="002B646D"/>
    <w:rsid w:val="002B6D10"/>
    <w:rsid w:val="002B7F45"/>
    <w:rsid w:val="002C00E0"/>
    <w:rsid w:val="002C0290"/>
    <w:rsid w:val="002C0452"/>
    <w:rsid w:val="002C2156"/>
    <w:rsid w:val="002C314E"/>
    <w:rsid w:val="002C321C"/>
    <w:rsid w:val="002C528E"/>
    <w:rsid w:val="002C5F42"/>
    <w:rsid w:val="002C61EE"/>
    <w:rsid w:val="002C6A7F"/>
    <w:rsid w:val="002C6FBE"/>
    <w:rsid w:val="002D21BB"/>
    <w:rsid w:val="002D2D91"/>
    <w:rsid w:val="002D4266"/>
    <w:rsid w:val="002D4382"/>
    <w:rsid w:val="002D43F3"/>
    <w:rsid w:val="002D5DCD"/>
    <w:rsid w:val="002D70AD"/>
    <w:rsid w:val="002D741D"/>
    <w:rsid w:val="002D742D"/>
    <w:rsid w:val="002E200F"/>
    <w:rsid w:val="002E29A8"/>
    <w:rsid w:val="002E3EF5"/>
    <w:rsid w:val="002E52DA"/>
    <w:rsid w:val="002E5312"/>
    <w:rsid w:val="002E5D32"/>
    <w:rsid w:val="002E627B"/>
    <w:rsid w:val="002E63A4"/>
    <w:rsid w:val="002E6F6E"/>
    <w:rsid w:val="002E7185"/>
    <w:rsid w:val="002E7EF5"/>
    <w:rsid w:val="002F0664"/>
    <w:rsid w:val="002F1D5A"/>
    <w:rsid w:val="002F37A1"/>
    <w:rsid w:val="002F580B"/>
    <w:rsid w:val="002F5B6B"/>
    <w:rsid w:val="002F7E95"/>
    <w:rsid w:val="0030074E"/>
    <w:rsid w:val="003009E0"/>
    <w:rsid w:val="00300C81"/>
    <w:rsid w:val="00301833"/>
    <w:rsid w:val="00302137"/>
    <w:rsid w:val="003025A8"/>
    <w:rsid w:val="003026DA"/>
    <w:rsid w:val="003033B8"/>
    <w:rsid w:val="0030371A"/>
    <w:rsid w:val="00303A98"/>
    <w:rsid w:val="00304730"/>
    <w:rsid w:val="003049E6"/>
    <w:rsid w:val="00305DBD"/>
    <w:rsid w:val="00305E85"/>
    <w:rsid w:val="0030660E"/>
    <w:rsid w:val="00306D0D"/>
    <w:rsid w:val="003071A3"/>
    <w:rsid w:val="003074B3"/>
    <w:rsid w:val="00307D27"/>
    <w:rsid w:val="00311EAF"/>
    <w:rsid w:val="00312FD3"/>
    <w:rsid w:val="003135E3"/>
    <w:rsid w:val="003155C0"/>
    <w:rsid w:val="00317604"/>
    <w:rsid w:val="0031776C"/>
    <w:rsid w:val="00317C24"/>
    <w:rsid w:val="0032243D"/>
    <w:rsid w:val="00324B27"/>
    <w:rsid w:val="00325159"/>
    <w:rsid w:val="00325B1A"/>
    <w:rsid w:val="0032613D"/>
    <w:rsid w:val="003269A2"/>
    <w:rsid w:val="00327156"/>
    <w:rsid w:val="003272CB"/>
    <w:rsid w:val="003302E7"/>
    <w:rsid w:val="00330AA1"/>
    <w:rsid w:val="00330B2A"/>
    <w:rsid w:val="0033143A"/>
    <w:rsid w:val="003323A2"/>
    <w:rsid w:val="00332ED6"/>
    <w:rsid w:val="00333AF5"/>
    <w:rsid w:val="00333D3B"/>
    <w:rsid w:val="00334821"/>
    <w:rsid w:val="003349D8"/>
    <w:rsid w:val="00334D1E"/>
    <w:rsid w:val="003405BD"/>
    <w:rsid w:val="00340E91"/>
    <w:rsid w:val="0034161B"/>
    <w:rsid w:val="00342849"/>
    <w:rsid w:val="00343DE3"/>
    <w:rsid w:val="00344711"/>
    <w:rsid w:val="0034475F"/>
    <w:rsid w:val="003464E8"/>
    <w:rsid w:val="00347DF1"/>
    <w:rsid w:val="00350C49"/>
    <w:rsid w:val="00352150"/>
    <w:rsid w:val="003523E0"/>
    <w:rsid w:val="00353284"/>
    <w:rsid w:val="003535C9"/>
    <w:rsid w:val="00353814"/>
    <w:rsid w:val="00354F1F"/>
    <w:rsid w:val="00355456"/>
    <w:rsid w:val="00355B9E"/>
    <w:rsid w:val="003562A6"/>
    <w:rsid w:val="003566FE"/>
    <w:rsid w:val="0035762B"/>
    <w:rsid w:val="0036208D"/>
    <w:rsid w:val="00362091"/>
    <w:rsid w:val="00362467"/>
    <w:rsid w:val="00362C5B"/>
    <w:rsid w:val="00362DCF"/>
    <w:rsid w:val="0036319E"/>
    <w:rsid w:val="003636A5"/>
    <w:rsid w:val="00363B35"/>
    <w:rsid w:val="0036495B"/>
    <w:rsid w:val="003659FF"/>
    <w:rsid w:val="00365AE7"/>
    <w:rsid w:val="003667D1"/>
    <w:rsid w:val="00367B60"/>
    <w:rsid w:val="003704CF"/>
    <w:rsid w:val="003718CB"/>
    <w:rsid w:val="00371F30"/>
    <w:rsid w:val="00372C74"/>
    <w:rsid w:val="003749AF"/>
    <w:rsid w:val="00374F4A"/>
    <w:rsid w:val="00375FD0"/>
    <w:rsid w:val="00376A3B"/>
    <w:rsid w:val="00376AAC"/>
    <w:rsid w:val="0037718E"/>
    <w:rsid w:val="00380BF0"/>
    <w:rsid w:val="00382479"/>
    <w:rsid w:val="003830B3"/>
    <w:rsid w:val="00384E4C"/>
    <w:rsid w:val="00385395"/>
    <w:rsid w:val="00386402"/>
    <w:rsid w:val="00386503"/>
    <w:rsid w:val="00390871"/>
    <w:rsid w:val="00390974"/>
    <w:rsid w:val="00390A29"/>
    <w:rsid w:val="00390C60"/>
    <w:rsid w:val="00391097"/>
    <w:rsid w:val="00392114"/>
    <w:rsid w:val="00392814"/>
    <w:rsid w:val="0039329C"/>
    <w:rsid w:val="0039339E"/>
    <w:rsid w:val="0039482F"/>
    <w:rsid w:val="00394AB4"/>
    <w:rsid w:val="00394B68"/>
    <w:rsid w:val="0039503A"/>
    <w:rsid w:val="00396A5E"/>
    <w:rsid w:val="003976D6"/>
    <w:rsid w:val="003A0175"/>
    <w:rsid w:val="003A183D"/>
    <w:rsid w:val="003A19B5"/>
    <w:rsid w:val="003A1D85"/>
    <w:rsid w:val="003A33B8"/>
    <w:rsid w:val="003A34F4"/>
    <w:rsid w:val="003A4903"/>
    <w:rsid w:val="003A4AE5"/>
    <w:rsid w:val="003A4F30"/>
    <w:rsid w:val="003A512F"/>
    <w:rsid w:val="003A52B3"/>
    <w:rsid w:val="003A5E3E"/>
    <w:rsid w:val="003A685D"/>
    <w:rsid w:val="003A7C12"/>
    <w:rsid w:val="003B002E"/>
    <w:rsid w:val="003B173A"/>
    <w:rsid w:val="003B1CAA"/>
    <w:rsid w:val="003B22D0"/>
    <w:rsid w:val="003B2313"/>
    <w:rsid w:val="003B2BA3"/>
    <w:rsid w:val="003B2E31"/>
    <w:rsid w:val="003B46CF"/>
    <w:rsid w:val="003B4E64"/>
    <w:rsid w:val="003B5B7A"/>
    <w:rsid w:val="003B6A2A"/>
    <w:rsid w:val="003B71ED"/>
    <w:rsid w:val="003C0547"/>
    <w:rsid w:val="003C06F2"/>
    <w:rsid w:val="003C08AC"/>
    <w:rsid w:val="003C1AD2"/>
    <w:rsid w:val="003C22C5"/>
    <w:rsid w:val="003C2BD4"/>
    <w:rsid w:val="003C4216"/>
    <w:rsid w:val="003C6838"/>
    <w:rsid w:val="003C6FE7"/>
    <w:rsid w:val="003C735D"/>
    <w:rsid w:val="003C7DB7"/>
    <w:rsid w:val="003D017F"/>
    <w:rsid w:val="003D0187"/>
    <w:rsid w:val="003D066D"/>
    <w:rsid w:val="003D1D90"/>
    <w:rsid w:val="003D28FE"/>
    <w:rsid w:val="003D2DD4"/>
    <w:rsid w:val="003D5112"/>
    <w:rsid w:val="003D5FD8"/>
    <w:rsid w:val="003D616C"/>
    <w:rsid w:val="003D7AC3"/>
    <w:rsid w:val="003E0DF6"/>
    <w:rsid w:val="003E1BC1"/>
    <w:rsid w:val="003E1DE6"/>
    <w:rsid w:val="003E2512"/>
    <w:rsid w:val="003E297F"/>
    <w:rsid w:val="003E35C0"/>
    <w:rsid w:val="003E39FE"/>
    <w:rsid w:val="003E3EA9"/>
    <w:rsid w:val="003E3FD4"/>
    <w:rsid w:val="003E5789"/>
    <w:rsid w:val="003E6395"/>
    <w:rsid w:val="003E67F5"/>
    <w:rsid w:val="003E7C56"/>
    <w:rsid w:val="003F04AC"/>
    <w:rsid w:val="003F1024"/>
    <w:rsid w:val="003F1193"/>
    <w:rsid w:val="003F19B6"/>
    <w:rsid w:val="003F3005"/>
    <w:rsid w:val="003F3500"/>
    <w:rsid w:val="003F3B85"/>
    <w:rsid w:val="003F44E2"/>
    <w:rsid w:val="003F4E68"/>
    <w:rsid w:val="003F4EF3"/>
    <w:rsid w:val="003F4F3E"/>
    <w:rsid w:val="003F541B"/>
    <w:rsid w:val="003F5D91"/>
    <w:rsid w:val="003F5E15"/>
    <w:rsid w:val="003F5E6A"/>
    <w:rsid w:val="00400710"/>
    <w:rsid w:val="004009CC"/>
    <w:rsid w:val="00400A5D"/>
    <w:rsid w:val="00400C06"/>
    <w:rsid w:val="004012CB"/>
    <w:rsid w:val="004018C2"/>
    <w:rsid w:val="0040262B"/>
    <w:rsid w:val="00402E45"/>
    <w:rsid w:val="00403EE2"/>
    <w:rsid w:val="00404D25"/>
    <w:rsid w:val="00405144"/>
    <w:rsid w:val="00405F37"/>
    <w:rsid w:val="00406353"/>
    <w:rsid w:val="0040674D"/>
    <w:rsid w:val="00407085"/>
    <w:rsid w:val="0041153A"/>
    <w:rsid w:val="00411E25"/>
    <w:rsid w:val="004126BC"/>
    <w:rsid w:val="0041472A"/>
    <w:rsid w:val="00415060"/>
    <w:rsid w:val="0041610B"/>
    <w:rsid w:val="00416BB6"/>
    <w:rsid w:val="00416CF8"/>
    <w:rsid w:val="004178B7"/>
    <w:rsid w:val="00420B4D"/>
    <w:rsid w:val="00421389"/>
    <w:rsid w:val="0042151E"/>
    <w:rsid w:val="00421AF2"/>
    <w:rsid w:val="00422524"/>
    <w:rsid w:val="00422CCA"/>
    <w:rsid w:val="00422D85"/>
    <w:rsid w:val="00423248"/>
    <w:rsid w:val="0042342C"/>
    <w:rsid w:val="004234DA"/>
    <w:rsid w:val="0042384B"/>
    <w:rsid w:val="0042499D"/>
    <w:rsid w:val="004260D2"/>
    <w:rsid w:val="004263C6"/>
    <w:rsid w:val="004265C8"/>
    <w:rsid w:val="00426F14"/>
    <w:rsid w:val="00430473"/>
    <w:rsid w:val="00433DB8"/>
    <w:rsid w:val="0043451A"/>
    <w:rsid w:val="0043551E"/>
    <w:rsid w:val="00436D7A"/>
    <w:rsid w:val="00436FB2"/>
    <w:rsid w:val="00437782"/>
    <w:rsid w:val="00437BCC"/>
    <w:rsid w:val="004403EC"/>
    <w:rsid w:val="004406CB"/>
    <w:rsid w:val="004419B9"/>
    <w:rsid w:val="00441EFB"/>
    <w:rsid w:val="00442023"/>
    <w:rsid w:val="00443B12"/>
    <w:rsid w:val="00444CBC"/>
    <w:rsid w:val="00445C13"/>
    <w:rsid w:val="00446257"/>
    <w:rsid w:val="00446815"/>
    <w:rsid w:val="0044736D"/>
    <w:rsid w:val="00447F7B"/>
    <w:rsid w:val="00451482"/>
    <w:rsid w:val="00451D7E"/>
    <w:rsid w:val="0045222D"/>
    <w:rsid w:val="0045428E"/>
    <w:rsid w:val="00454E9D"/>
    <w:rsid w:val="00455991"/>
    <w:rsid w:val="00456386"/>
    <w:rsid w:val="0045652A"/>
    <w:rsid w:val="00457AFD"/>
    <w:rsid w:val="00457D64"/>
    <w:rsid w:val="00460415"/>
    <w:rsid w:val="0046044A"/>
    <w:rsid w:val="00461739"/>
    <w:rsid w:val="00461F4C"/>
    <w:rsid w:val="004627D8"/>
    <w:rsid w:val="00463050"/>
    <w:rsid w:val="00463CBA"/>
    <w:rsid w:val="00465DA1"/>
    <w:rsid w:val="00466E3B"/>
    <w:rsid w:val="00470030"/>
    <w:rsid w:val="00471E9E"/>
    <w:rsid w:val="00473F3B"/>
    <w:rsid w:val="0047414D"/>
    <w:rsid w:val="00474FC0"/>
    <w:rsid w:val="0047558B"/>
    <w:rsid w:val="00476AA1"/>
    <w:rsid w:val="004771FA"/>
    <w:rsid w:val="004803E3"/>
    <w:rsid w:val="00481C97"/>
    <w:rsid w:val="0048223D"/>
    <w:rsid w:val="0048249D"/>
    <w:rsid w:val="00483A48"/>
    <w:rsid w:val="00485599"/>
    <w:rsid w:val="0048578A"/>
    <w:rsid w:val="0048635D"/>
    <w:rsid w:val="00487565"/>
    <w:rsid w:val="004901D1"/>
    <w:rsid w:val="004902E3"/>
    <w:rsid w:val="00490C05"/>
    <w:rsid w:val="00490F1F"/>
    <w:rsid w:val="00491299"/>
    <w:rsid w:val="004918D7"/>
    <w:rsid w:val="004935E6"/>
    <w:rsid w:val="00493645"/>
    <w:rsid w:val="004938AC"/>
    <w:rsid w:val="004965F5"/>
    <w:rsid w:val="00497A99"/>
    <w:rsid w:val="004A013D"/>
    <w:rsid w:val="004A1686"/>
    <w:rsid w:val="004A215F"/>
    <w:rsid w:val="004A53B8"/>
    <w:rsid w:val="004A55B6"/>
    <w:rsid w:val="004A677B"/>
    <w:rsid w:val="004A68F3"/>
    <w:rsid w:val="004A6950"/>
    <w:rsid w:val="004A6C9B"/>
    <w:rsid w:val="004A6CE0"/>
    <w:rsid w:val="004A6D2E"/>
    <w:rsid w:val="004B069E"/>
    <w:rsid w:val="004B146A"/>
    <w:rsid w:val="004B1BD6"/>
    <w:rsid w:val="004B3D7A"/>
    <w:rsid w:val="004B57AC"/>
    <w:rsid w:val="004B5FDD"/>
    <w:rsid w:val="004B65AE"/>
    <w:rsid w:val="004B6CA3"/>
    <w:rsid w:val="004C0716"/>
    <w:rsid w:val="004C0847"/>
    <w:rsid w:val="004C0870"/>
    <w:rsid w:val="004C0921"/>
    <w:rsid w:val="004C0D2C"/>
    <w:rsid w:val="004C12D6"/>
    <w:rsid w:val="004C1333"/>
    <w:rsid w:val="004C20C6"/>
    <w:rsid w:val="004C27C4"/>
    <w:rsid w:val="004C2A87"/>
    <w:rsid w:val="004C2CE9"/>
    <w:rsid w:val="004C446D"/>
    <w:rsid w:val="004C4860"/>
    <w:rsid w:val="004C64C3"/>
    <w:rsid w:val="004C7553"/>
    <w:rsid w:val="004C7C54"/>
    <w:rsid w:val="004D01C4"/>
    <w:rsid w:val="004D12F5"/>
    <w:rsid w:val="004D1576"/>
    <w:rsid w:val="004D2093"/>
    <w:rsid w:val="004D213E"/>
    <w:rsid w:val="004D4639"/>
    <w:rsid w:val="004D4691"/>
    <w:rsid w:val="004E09AE"/>
    <w:rsid w:val="004E0E95"/>
    <w:rsid w:val="004E173E"/>
    <w:rsid w:val="004E2780"/>
    <w:rsid w:val="004E2C70"/>
    <w:rsid w:val="004E3359"/>
    <w:rsid w:val="004E3C69"/>
    <w:rsid w:val="004E5072"/>
    <w:rsid w:val="004E5EB7"/>
    <w:rsid w:val="004E5F87"/>
    <w:rsid w:val="004E65BA"/>
    <w:rsid w:val="004E7A6C"/>
    <w:rsid w:val="004F01AC"/>
    <w:rsid w:val="004F0739"/>
    <w:rsid w:val="004F2362"/>
    <w:rsid w:val="004F2473"/>
    <w:rsid w:val="004F2D70"/>
    <w:rsid w:val="004F2E4B"/>
    <w:rsid w:val="004F382A"/>
    <w:rsid w:val="004F3975"/>
    <w:rsid w:val="004F3B07"/>
    <w:rsid w:val="004F3DC2"/>
    <w:rsid w:val="004F5318"/>
    <w:rsid w:val="004F5940"/>
    <w:rsid w:val="004F5B1D"/>
    <w:rsid w:val="004F6130"/>
    <w:rsid w:val="004F6D4B"/>
    <w:rsid w:val="005007BE"/>
    <w:rsid w:val="00501435"/>
    <w:rsid w:val="00501CB8"/>
    <w:rsid w:val="00503003"/>
    <w:rsid w:val="00503210"/>
    <w:rsid w:val="005036DE"/>
    <w:rsid w:val="00504818"/>
    <w:rsid w:val="00504ACE"/>
    <w:rsid w:val="00505005"/>
    <w:rsid w:val="00505755"/>
    <w:rsid w:val="00505BE0"/>
    <w:rsid w:val="00506C2F"/>
    <w:rsid w:val="00507F95"/>
    <w:rsid w:val="005117BC"/>
    <w:rsid w:val="00511897"/>
    <w:rsid w:val="00511927"/>
    <w:rsid w:val="0051265E"/>
    <w:rsid w:val="00512D19"/>
    <w:rsid w:val="00512D52"/>
    <w:rsid w:val="00513C9E"/>
    <w:rsid w:val="00515BC5"/>
    <w:rsid w:val="00517333"/>
    <w:rsid w:val="0051763A"/>
    <w:rsid w:val="00520546"/>
    <w:rsid w:val="00520C1A"/>
    <w:rsid w:val="00521612"/>
    <w:rsid w:val="0052171C"/>
    <w:rsid w:val="005222D0"/>
    <w:rsid w:val="005230C1"/>
    <w:rsid w:val="0052355B"/>
    <w:rsid w:val="00524A2A"/>
    <w:rsid w:val="00525F25"/>
    <w:rsid w:val="00526448"/>
    <w:rsid w:val="005265A1"/>
    <w:rsid w:val="00526E7F"/>
    <w:rsid w:val="0052723A"/>
    <w:rsid w:val="005273A5"/>
    <w:rsid w:val="0052772D"/>
    <w:rsid w:val="005277FB"/>
    <w:rsid w:val="00527E54"/>
    <w:rsid w:val="005309F7"/>
    <w:rsid w:val="00530F8E"/>
    <w:rsid w:val="005310FC"/>
    <w:rsid w:val="005311F1"/>
    <w:rsid w:val="00531513"/>
    <w:rsid w:val="00531693"/>
    <w:rsid w:val="00532EBF"/>
    <w:rsid w:val="0053407C"/>
    <w:rsid w:val="005342ED"/>
    <w:rsid w:val="005343D4"/>
    <w:rsid w:val="00535B0D"/>
    <w:rsid w:val="00535F0C"/>
    <w:rsid w:val="00537421"/>
    <w:rsid w:val="005401BF"/>
    <w:rsid w:val="00540245"/>
    <w:rsid w:val="00540C6E"/>
    <w:rsid w:val="005415DB"/>
    <w:rsid w:val="00544535"/>
    <w:rsid w:val="005449F5"/>
    <w:rsid w:val="0054674E"/>
    <w:rsid w:val="00550117"/>
    <w:rsid w:val="00550967"/>
    <w:rsid w:val="00550C54"/>
    <w:rsid w:val="00552197"/>
    <w:rsid w:val="005521A7"/>
    <w:rsid w:val="00552E95"/>
    <w:rsid w:val="005537E8"/>
    <w:rsid w:val="00553B3F"/>
    <w:rsid w:val="00554B8F"/>
    <w:rsid w:val="0055652E"/>
    <w:rsid w:val="00556972"/>
    <w:rsid w:val="00556CB3"/>
    <w:rsid w:val="005600D8"/>
    <w:rsid w:val="005603D7"/>
    <w:rsid w:val="0056059B"/>
    <w:rsid w:val="005607AC"/>
    <w:rsid w:val="005620E5"/>
    <w:rsid w:val="00562410"/>
    <w:rsid w:val="00562870"/>
    <w:rsid w:val="0056445C"/>
    <w:rsid w:val="005646A3"/>
    <w:rsid w:val="00565B88"/>
    <w:rsid w:val="00565FBC"/>
    <w:rsid w:val="00566FC0"/>
    <w:rsid w:val="005711F7"/>
    <w:rsid w:val="00571BAA"/>
    <w:rsid w:val="00571FAD"/>
    <w:rsid w:val="00572253"/>
    <w:rsid w:val="0057237C"/>
    <w:rsid w:val="005728E0"/>
    <w:rsid w:val="00572DF2"/>
    <w:rsid w:val="005731EB"/>
    <w:rsid w:val="00573625"/>
    <w:rsid w:val="00573F2A"/>
    <w:rsid w:val="00574504"/>
    <w:rsid w:val="00574C16"/>
    <w:rsid w:val="005753EF"/>
    <w:rsid w:val="00575981"/>
    <w:rsid w:val="00575F94"/>
    <w:rsid w:val="00576A61"/>
    <w:rsid w:val="00577337"/>
    <w:rsid w:val="00577B0E"/>
    <w:rsid w:val="00580299"/>
    <w:rsid w:val="005803B8"/>
    <w:rsid w:val="00580D64"/>
    <w:rsid w:val="00581653"/>
    <w:rsid w:val="005829DA"/>
    <w:rsid w:val="00582AEF"/>
    <w:rsid w:val="00583643"/>
    <w:rsid w:val="00583BA0"/>
    <w:rsid w:val="00583F18"/>
    <w:rsid w:val="00584114"/>
    <w:rsid w:val="005849C6"/>
    <w:rsid w:val="0058562C"/>
    <w:rsid w:val="00586417"/>
    <w:rsid w:val="00587831"/>
    <w:rsid w:val="00591A46"/>
    <w:rsid w:val="005922CC"/>
    <w:rsid w:val="00592E93"/>
    <w:rsid w:val="005939B6"/>
    <w:rsid w:val="00593B5D"/>
    <w:rsid w:val="005947CC"/>
    <w:rsid w:val="005961E4"/>
    <w:rsid w:val="0059713A"/>
    <w:rsid w:val="005972C3"/>
    <w:rsid w:val="00597A3E"/>
    <w:rsid w:val="005A12C0"/>
    <w:rsid w:val="005A2B5F"/>
    <w:rsid w:val="005A37CF"/>
    <w:rsid w:val="005A40CD"/>
    <w:rsid w:val="005A41BA"/>
    <w:rsid w:val="005A45C3"/>
    <w:rsid w:val="005A53BD"/>
    <w:rsid w:val="005A5C4B"/>
    <w:rsid w:val="005A76BF"/>
    <w:rsid w:val="005A7B30"/>
    <w:rsid w:val="005A7FD8"/>
    <w:rsid w:val="005B04C8"/>
    <w:rsid w:val="005B0587"/>
    <w:rsid w:val="005B09B5"/>
    <w:rsid w:val="005B192D"/>
    <w:rsid w:val="005B1976"/>
    <w:rsid w:val="005B229D"/>
    <w:rsid w:val="005B286E"/>
    <w:rsid w:val="005B2D60"/>
    <w:rsid w:val="005B3509"/>
    <w:rsid w:val="005B35CA"/>
    <w:rsid w:val="005B3A79"/>
    <w:rsid w:val="005B3B3F"/>
    <w:rsid w:val="005B7593"/>
    <w:rsid w:val="005B7B3B"/>
    <w:rsid w:val="005C258A"/>
    <w:rsid w:val="005C2E0A"/>
    <w:rsid w:val="005C2F19"/>
    <w:rsid w:val="005C396B"/>
    <w:rsid w:val="005C3BD8"/>
    <w:rsid w:val="005C4435"/>
    <w:rsid w:val="005C5BD4"/>
    <w:rsid w:val="005C6D9F"/>
    <w:rsid w:val="005C717E"/>
    <w:rsid w:val="005C71D4"/>
    <w:rsid w:val="005C76CE"/>
    <w:rsid w:val="005D0258"/>
    <w:rsid w:val="005D095A"/>
    <w:rsid w:val="005D0B66"/>
    <w:rsid w:val="005D1547"/>
    <w:rsid w:val="005D1E4B"/>
    <w:rsid w:val="005D2010"/>
    <w:rsid w:val="005D2A92"/>
    <w:rsid w:val="005D300B"/>
    <w:rsid w:val="005D36B2"/>
    <w:rsid w:val="005D3A74"/>
    <w:rsid w:val="005D3EEC"/>
    <w:rsid w:val="005D48D3"/>
    <w:rsid w:val="005D553B"/>
    <w:rsid w:val="005D5BA5"/>
    <w:rsid w:val="005D5C3D"/>
    <w:rsid w:val="005D7D7A"/>
    <w:rsid w:val="005E0382"/>
    <w:rsid w:val="005E04D6"/>
    <w:rsid w:val="005E11BA"/>
    <w:rsid w:val="005E40A3"/>
    <w:rsid w:val="005E44FF"/>
    <w:rsid w:val="005E4AAE"/>
    <w:rsid w:val="005E4CAB"/>
    <w:rsid w:val="005E4EB5"/>
    <w:rsid w:val="005E50F3"/>
    <w:rsid w:val="005E5D49"/>
    <w:rsid w:val="005E5E93"/>
    <w:rsid w:val="005E6334"/>
    <w:rsid w:val="005E7990"/>
    <w:rsid w:val="005E7E51"/>
    <w:rsid w:val="005F00E4"/>
    <w:rsid w:val="005F049A"/>
    <w:rsid w:val="005F2036"/>
    <w:rsid w:val="005F22B3"/>
    <w:rsid w:val="005F33C2"/>
    <w:rsid w:val="005F3537"/>
    <w:rsid w:val="005F367E"/>
    <w:rsid w:val="005F3EB5"/>
    <w:rsid w:val="005F3FAE"/>
    <w:rsid w:val="005F47CE"/>
    <w:rsid w:val="005F5644"/>
    <w:rsid w:val="005F5664"/>
    <w:rsid w:val="005F6092"/>
    <w:rsid w:val="005F7DC6"/>
    <w:rsid w:val="00602CB7"/>
    <w:rsid w:val="00602E41"/>
    <w:rsid w:val="006037F6"/>
    <w:rsid w:val="006038A9"/>
    <w:rsid w:val="00604A46"/>
    <w:rsid w:val="006052A3"/>
    <w:rsid w:val="00605EC3"/>
    <w:rsid w:val="0060618D"/>
    <w:rsid w:val="0060676A"/>
    <w:rsid w:val="00610416"/>
    <w:rsid w:val="00612274"/>
    <w:rsid w:val="00614BDB"/>
    <w:rsid w:val="00615C64"/>
    <w:rsid w:val="00615DA3"/>
    <w:rsid w:val="00616A8F"/>
    <w:rsid w:val="00621A7F"/>
    <w:rsid w:val="006233F3"/>
    <w:rsid w:val="00623AE5"/>
    <w:rsid w:val="00623AF8"/>
    <w:rsid w:val="006247B8"/>
    <w:rsid w:val="00624EB7"/>
    <w:rsid w:val="00625685"/>
    <w:rsid w:val="00625E93"/>
    <w:rsid w:val="00625EE4"/>
    <w:rsid w:val="006265CA"/>
    <w:rsid w:val="00626E0C"/>
    <w:rsid w:val="0062716A"/>
    <w:rsid w:val="0062729D"/>
    <w:rsid w:val="0062759C"/>
    <w:rsid w:val="00630744"/>
    <w:rsid w:val="00630996"/>
    <w:rsid w:val="00630C41"/>
    <w:rsid w:val="00630FA5"/>
    <w:rsid w:val="00632622"/>
    <w:rsid w:val="00632819"/>
    <w:rsid w:val="00634A13"/>
    <w:rsid w:val="006352B9"/>
    <w:rsid w:val="00635755"/>
    <w:rsid w:val="00637B2F"/>
    <w:rsid w:val="00640168"/>
    <w:rsid w:val="00641A2D"/>
    <w:rsid w:val="00641AD0"/>
    <w:rsid w:val="00643ABE"/>
    <w:rsid w:val="006440D1"/>
    <w:rsid w:val="006447B9"/>
    <w:rsid w:val="00644BBB"/>
    <w:rsid w:val="00645843"/>
    <w:rsid w:val="00645DC2"/>
    <w:rsid w:val="00650186"/>
    <w:rsid w:val="006501FE"/>
    <w:rsid w:val="006501FF"/>
    <w:rsid w:val="00650224"/>
    <w:rsid w:val="006504CF"/>
    <w:rsid w:val="006509B1"/>
    <w:rsid w:val="006513CB"/>
    <w:rsid w:val="006515EC"/>
    <w:rsid w:val="00652092"/>
    <w:rsid w:val="006522FE"/>
    <w:rsid w:val="00652319"/>
    <w:rsid w:val="00652BAB"/>
    <w:rsid w:val="00653F82"/>
    <w:rsid w:val="006546E1"/>
    <w:rsid w:val="00654C5E"/>
    <w:rsid w:val="00656231"/>
    <w:rsid w:val="00656250"/>
    <w:rsid w:val="00656990"/>
    <w:rsid w:val="00657507"/>
    <w:rsid w:val="00660EF9"/>
    <w:rsid w:val="006615CA"/>
    <w:rsid w:val="00662648"/>
    <w:rsid w:val="0066364A"/>
    <w:rsid w:val="00663DD5"/>
    <w:rsid w:val="00665705"/>
    <w:rsid w:val="00666CAF"/>
    <w:rsid w:val="00670F57"/>
    <w:rsid w:val="006716F4"/>
    <w:rsid w:val="00671DFD"/>
    <w:rsid w:val="006723CF"/>
    <w:rsid w:val="006739BE"/>
    <w:rsid w:val="00673B1C"/>
    <w:rsid w:val="00674888"/>
    <w:rsid w:val="006748C3"/>
    <w:rsid w:val="006749E8"/>
    <w:rsid w:val="00674DAB"/>
    <w:rsid w:val="0067682B"/>
    <w:rsid w:val="00676898"/>
    <w:rsid w:val="0067758A"/>
    <w:rsid w:val="00677ACF"/>
    <w:rsid w:val="00680E2F"/>
    <w:rsid w:val="006821F6"/>
    <w:rsid w:val="00682513"/>
    <w:rsid w:val="00682889"/>
    <w:rsid w:val="00683C2D"/>
    <w:rsid w:val="006854C9"/>
    <w:rsid w:val="00685851"/>
    <w:rsid w:val="00685BD8"/>
    <w:rsid w:val="00686309"/>
    <w:rsid w:val="00690ECF"/>
    <w:rsid w:val="00692980"/>
    <w:rsid w:val="00693DF5"/>
    <w:rsid w:val="00694BE5"/>
    <w:rsid w:val="00695593"/>
    <w:rsid w:val="006956F8"/>
    <w:rsid w:val="00695F51"/>
    <w:rsid w:val="00696561"/>
    <w:rsid w:val="006972CE"/>
    <w:rsid w:val="00697E14"/>
    <w:rsid w:val="00697F71"/>
    <w:rsid w:val="006A0193"/>
    <w:rsid w:val="006A057C"/>
    <w:rsid w:val="006A0AAA"/>
    <w:rsid w:val="006A12E4"/>
    <w:rsid w:val="006A1BA4"/>
    <w:rsid w:val="006A2870"/>
    <w:rsid w:val="006A45FE"/>
    <w:rsid w:val="006A4F47"/>
    <w:rsid w:val="006A4F7E"/>
    <w:rsid w:val="006A5665"/>
    <w:rsid w:val="006A5912"/>
    <w:rsid w:val="006A6415"/>
    <w:rsid w:val="006A7114"/>
    <w:rsid w:val="006A716C"/>
    <w:rsid w:val="006A750F"/>
    <w:rsid w:val="006A76C1"/>
    <w:rsid w:val="006B11DF"/>
    <w:rsid w:val="006B2544"/>
    <w:rsid w:val="006B2666"/>
    <w:rsid w:val="006B34F8"/>
    <w:rsid w:val="006B3C17"/>
    <w:rsid w:val="006B3E7C"/>
    <w:rsid w:val="006B4306"/>
    <w:rsid w:val="006B4922"/>
    <w:rsid w:val="006B4D78"/>
    <w:rsid w:val="006B4FF4"/>
    <w:rsid w:val="006B52B5"/>
    <w:rsid w:val="006B5870"/>
    <w:rsid w:val="006B63A9"/>
    <w:rsid w:val="006B63AE"/>
    <w:rsid w:val="006B6964"/>
    <w:rsid w:val="006B7908"/>
    <w:rsid w:val="006B7F91"/>
    <w:rsid w:val="006C0064"/>
    <w:rsid w:val="006C082D"/>
    <w:rsid w:val="006C0F73"/>
    <w:rsid w:val="006C0FCE"/>
    <w:rsid w:val="006C1300"/>
    <w:rsid w:val="006C144E"/>
    <w:rsid w:val="006C1A77"/>
    <w:rsid w:val="006C1AC4"/>
    <w:rsid w:val="006C2702"/>
    <w:rsid w:val="006C2DDC"/>
    <w:rsid w:val="006C39AB"/>
    <w:rsid w:val="006C4577"/>
    <w:rsid w:val="006C539A"/>
    <w:rsid w:val="006C5C31"/>
    <w:rsid w:val="006C5DF2"/>
    <w:rsid w:val="006C5E62"/>
    <w:rsid w:val="006C6B1F"/>
    <w:rsid w:val="006C7144"/>
    <w:rsid w:val="006C79B2"/>
    <w:rsid w:val="006C7EE4"/>
    <w:rsid w:val="006C7F2F"/>
    <w:rsid w:val="006D01F9"/>
    <w:rsid w:val="006D34B0"/>
    <w:rsid w:val="006D3F61"/>
    <w:rsid w:val="006D43FF"/>
    <w:rsid w:val="006D4CF1"/>
    <w:rsid w:val="006D55AB"/>
    <w:rsid w:val="006D567B"/>
    <w:rsid w:val="006D5F6F"/>
    <w:rsid w:val="006D5F8B"/>
    <w:rsid w:val="006D60B6"/>
    <w:rsid w:val="006D6100"/>
    <w:rsid w:val="006D7364"/>
    <w:rsid w:val="006D78F5"/>
    <w:rsid w:val="006E0144"/>
    <w:rsid w:val="006E0335"/>
    <w:rsid w:val="006E0DC8"/>
    <w:rsid w:val="006E2064"/>
    <w:rsid w:val="006E4692"/>
    <w:rsid w:val="006E46A9"/>
    <w:rsid w:val="006E63CE"/>
    <w:rsid w:val="006E7650"/>
    <w:rsid w:val="006E7A3A"/>
    <w:rsid w:val="006E7C64"/>
    <w:rsid w:val="006F0ECC"/>
    <w:rsid w:val="006F12E6"/>
    <w:rsid w:val="006F178E"/>
    <w:rsid w:val="006F1BBF"/>
    <w:rsid w:val="006F1CB3"/>
    <w:rsid w:val="006F21B9"/>
    <w:rsid w:val="006F4E42"/>
    <w:rsid w:val="006F546D"/>
    <w:rsid w:val="006F6977"/>
    <w:rsid w:val="007015E2"/>
    <w:rsid w:val="007026BB"/>
    <w:rsid w:val="00703471"/>
    <w:rsid w:val="00703BA1"/>
    <w:rsid w:val="00703EA5"/>
    <w:rsid w:val="0070405D"/>
    <w:rsid w:val="0070483A"/>
    <w:rsid w:val="00704C7B"/>
    <w:rsid w:val="00705609"/>
    <w:rsid w:val="00706043"/>
    <w:rsid w:val="00706046"/>
    <w:rsid w:val="007065C7"/>
    <w:rsid w:val="00707644"/>
    <w:rsid w:val="007076C1"/>
    <w:rsid w:val="0070782E"/>
    <w:rsid w:val="007107E5"/>
    <w:rsid w:val="0071094C"/>
    <w:rsid w:val="007120A5"/>
    <w:rsid w:val="00713843"/>
    <w:rsid w:val="007138A8"/>
    <w:rsid w:val="007141DE"/>
    <w:rsid w:val="007144DE"/>
    <w:rsid w:val="007146D5"/>
    <w:rsid w:val="00715F1E"/>
    <w:rsid w:val="00715F4A"/>
    <w:rsid w:val="007161BC"/>
    <w:rsid w:val="00716393"/>
    <w:rsid w:val="007165DD"/>
    <w:rsid w:val="007169E2"/>
    <w:rsid w:val="00716F3C"/>
    <w:rsid w:val="0071758B"/>
    <w:rsid w:val="00720F09"/>
    <w:rsid w:val="007225BB"/>
    <w:rsid w:val="00722608"/>
    <w:rsid w:val="00723CFE"/>
    <w:rsid w:val="0072457C"/>
    <w:rsid w:val="00724C54"/>
    <w:rsid w:val="00724E7D"/>
    <w:rsid w:val="00725688"/>
    <w:rsid w:val="00726155"/>
    <w:rsid w:val="0072625A"/>
    <w:rsid w:val="00727733"/>
    <w:rsid w:val="007277D3"/>
    <w:rsid w:val="007311AB"/>
    <w:rsid w:val="00731CEB"/>
    <w:rsid w:val="00732798"/>
    <w:rsid w:val="00732FFC"/>
    <w:rsid w:val="0073311E"/>
    <w:rsid w:val="00733E31"/>
    <w:rsid w:val="00734160"/>
    <w:rsid w:val="00734457"/>
    <w:rsid w:val="0073455A"/>
    <w:rsid w:val="007348A5"/>
    <w:rsid w:val="00736165"/>
    <w:rsid w:val="007362AB"/>
    <w:rsid w:val="00736C9F"/>
    <w:rsid w:val="00737A44"/>
    <w:rsid w:val="00737A97"/>
    <w:rsid w:val="007409A9"/>
    <w:rsid w:val="0074199B"/>
    <w:rsid w:val="00743453"/>
    <w:rsid w:val="007438C8"/>
    <w:rsid w:val="00743C12"/>
    <w:rsid w:val="007443EC"/>
    <w:rsid w:val="00744E52"/>
    <w:rsid w:val="00744F54"/>
    <w:rsid w:val="00745308"/>
    <w:rsid w:val="00745968"/>
    <w:rsid w:val="00745F2A"/>
    <w:rsid w:val="007466FD"/>
    <w:rsid w:val="00746F92"/>
    <w:rsid w:val="00747409"/>
    <w:rsid w:val="0074753F"/>
    <w:rsid w:val="0074754F"/>
    <w:rsid w:val="007475DD"/>
    <w:rsid w:val="00747B61"/>
    <w:rsid w:val="0075075A"/>
    <w:rsid w:val="00750D3F"/>
    <w:rsid w:val="00753D3C"/>
    <w:rsid w:val="00755FB0"/>
    <w:rsid w:val="00756B0C"/>
    <w:rsid w:val="0075734A"/>
    <w:rsid w:val="00757537"/>
    <w:rsid w:val="0075791B"/>
    <w:rsid w:val="007609FA"/>
    <w:rsid w:val="007625E6"/>
    <w:rsid w:val="007628B1"/>
    <w:rsid w:val="00762F99"/>
    <w:rsid w:val="007634F2"/>
    <w:rsid w:val="00765C07"/>
    <w:rsid w:val="00765E53"/>
    <w:rsid w:val="0076753C"/>
    <w:rsid w:val="00770371"/>
    <w:rsid w:val="0077196C"/>
    <w:rsid w:val="007721F9"/>
    <w:rsid w:val="00772390"/>
    <w:rsid w:val="00772DF5"/>
    <w:rsid w:val="007732FA"/>
    <w:rsid w:val="007749CD"/>
    <w:rsid w:val="0077500F"/>
    <w:rsid w:val="00775137"/>
    <w:rsid w:val="007754A9"/>
    <w:rsid w:val="007760D3"/>
    <w:rsid w:val="00776281"/>
    <w:rsid w:val="007764F2"/>
    <w:rsid w:val="00776649"/>
    <w:rsid w:val="00776F6E"/>
    <w:rsid w:val="00777670"/>
    <w:rsid w:val="007776F0"/>
    <w:rsid w:val="007778B7"/>
    <w:rsid w:val="0078054A"/>
    <w:rsid w:val="00781FC9"/>
    <w:rsid w:val="00782EF9"/>
    <w:rsid w:val="007833B7"/>
    <w:rsid w:val="0078389C"/>
    <w:rsid w:val="00783947"/>
    <w:rsid w:val="00783D7D"/>
    <w:rsid w:val="0078423D"/>
    <w:rsid w:val="00784A65"/>
    <w:rsid w:val="007905E8"/>
    <w:rsid w:val="00791EEE"/>
    <w:rsid w:val="0079409A"/>
    <w:rsid w:val="007943B5"/>
    <w:rsid w:val="00796335"/>
    <w:rsid w:val="0079636D"/>
    <w:rsid w:val="00797019"/>
    <w:rsid w:val="007971E3"/>
    <w:rsid w:val="00797B02"/>
    <w:rsid w:val="00797B4E"/>
    <w:rsid w:val="00797BE1"/>
    <w:rsid w:val="007A097D"/>
    <w:rsid w:val="007A13C2"/>
    <w:rsid w:val="007A1C8E"/>
    <w:rsid w:val="007A30AD"/>
    <w:rsid w:val="007A41C8"/>
    <w:rsid w:val="007A4248"/>
    <w:rsid w:val="007A4361"/>
    <w:rsid w:val="007A4874"/>
    <w:rsid w:val="007A4FAB"/>
    <w:rsid w:val="007A59D5"/>
    <w:rsid w:val="007A615C"/>
    <w:rsid w:val="007A61BD"/>
    <w:rsid w:val="007A61FC"/>
    <w:rsid w:val="007A673D"/>
    <w:rsid w:val="007A7EA6"/>
    <w:rsid w:val="007B001F"/>
    <w:rsid w:val="007B014D"/>
    <w:rsid w:val="007B15B6"/>
    <w:rsid w:val="007B37D9"/>
    <w:rsid w:val="007B4342"/>
    <w:rsid w:val="007B436B"/>
    <w:rsid w:val="007B43F6"/>
    <w:rsid w:val="007B4C03"/>
    <w:rsid w:val="007B5654"/>
    <w:rsid w:val="007B5D81"/>
    <w:rsid w:val="007B7949"/>
    <w:rsid w:val="007B7DD9"/>
    <w:rsid w:val="007C038A"/>
    <w:rsid w:val="007C0C85"/>
    <w:rsid w:val="007C119A"/>
    <w:rsid w:val="007C12B6"/>
    <w:rsid w:val="007C21CA"/>
    <w:rsid w:val="007C545F"/>
    <w:rsid w:val="007C5A9D"/>
    <w:rsid w:val="007C5D35"/>
    <w:rsid w:val="007C624A"/>
    <w:rsid w:val="007C7449"/>
    <w:rsid w:val="007C7698"/>
    <w:rsid w:val="007C7BA8"/>
    <w:rsid w:val="007D0F6D"/>
    <w:rsid w:val="007D13A2"/>
    <w:rsid w:val="007D1CDE"/>
    <w:rsid w:val="007D28D7"/>
    <w:rsid w:val="007D2951"/>
    <w:rsid w:val="007D324A"/>
    <w:rsid w:val="007D43DC"/>
    <w:rsid w:val="007D4D63"/>
    <w:rsid w:val="007D6DDE"/>
    <w:rsid w:val="007E09C9"/>
    <w:rsid w:val="007E0A9B"/>
    <w:rsid w:val="007E0B5D"/>
    <w:rsid w:val="007E103F"/>
    <w:rsid w:val="007E17E0"/>
    <w:rsid w:val="007E2836"/>
    <w:rsid w:val="007E283B"/>
    <w:rsid w:val="007E3368"/>
    <w:rsid w:val="007E34F5"/>
    <w:rsid w:val="007E3ECE"/>
    <w:rsid w:val="007E4077"/>
    <w:rsid w:val="007E4180"/>
    <w:rsid w:val="007E54F2"/>
    <w:rsid w:val="007E6C7B"/>
    <w:rsid w:val="007E6DA2"/>
    <w:rsid w:val="007E7E57"/>
    <w:rsid w:val="007F0CBD"/>
    <w:rsid w:val="007F0E9B"/>
    <w:rsid w:val="007F2F32"/>
    <w:rsid w:val="007F32D6"/>
    <w:rsid w:val="007F3490"/>
    <w:rsid w:val="007F3CBF"/>
    <w:rsid w:val="007F4E3F"/>
    <w:rsid w:val="007F4FAA"/>
    <w:rsid w:val="007F534B"/>
    <w:rsid w:val="007F5E24"/>
    <w:rsid w:val="00800A30"/>
    <w:rsid w:val="00800A70"/>
    <w:rsid w:val="008017D4"/>
    <w:rsid w:val="00801D16"/>
    <w:rsid w:val="00803DB0"/>
    <w:rsid w:val="00803F5F"/>
    <w:rsid w:val="0080591E"/>
    <w:rsid w:val="00806B29"/>
    <w:rsid w:val="00807EEE"/>
    <w:rsid w:val="0081018D"/>
    <w:rsid w:val="00810DF0"/>
    <w:rsid w:val="00811301"/>
    <w:rsid w:val="00811FBB"/>
    <w:rsid w:val="00813424"/>
    <w:rsid w:val="008140F6"/>
    <w:rsid w:val="00814A93"/>
    <w:rsid w:val="00814F2C"/>
    <w:rsid w:val="00814F70"/>
    <w:rsid w:val="00815030"/>
    <w:rsid w:val="0081542F"/>
    <w:rsid w:val="00815F3F"/>
    <w:rsid w:val="008160F3"/>
    <w:rsid w:val="008164AE"/>
    <w:rsid w:val="00817195"/>
    <w:rsid w:val="00817262"/>
    <w:rsid w:val="00817696"/>
    <w:rsid w:val="008178DD"/>
    <w:rsid w:val="00817D8E"/>
    <w:rsid w:val="00817DAC"/>
    <w:rsid w:val="008211B2"/>
    <w:rsid w:val="0082144C"/>
    <w:rsid w:val="008218D5"/>
    <w:rsid w:val="008225B4"/>
    <w:rsid w:val="00823784"/>
    <w:rsid w:val="00823D30"/>
    <w:rsid w:val="008248D7"/>
    <w:rsid w:val="00825094"/>
    <w:rsid w:val="00825335"/>
    <w:rsid w:val="00825354"/>
    <w:rsid w:val="00825BAD"/>
    <w:rsid w:val="0082664D"/>
    <w:rsid w:val="0082676D"/>
    <w:rsid w:val="008267D3"/>
    <w:rsid w:val="00827FAD"/>
    <w:rsid w:val="0083179B"/>
    <w:rsid w:val="0083184D"/>
    <w:rsid w:val="00831A30"/>
    <w:rsid w:val="00832393"/>
    <w:rsid w:val="008328A3"/>
    <w:rsid w:val="008334F7"/>
    <w:rsid w:val="0083350C"/>
    <w:rsid w:val="00833E5E"/>
    <w:rsid w:val="00834A07"/>
    <w:rsid w:val="00835AA4"/>
    <w:rsid w:val="00835C92"/>
    <w:rsid w:val="00836B70"/>
    <w:rsid w:val="008371A8"/>
    <w:rsid w:val="008373BE"/>
    <w:rsid w:val="00840905"/>
    <w:rsid w:val="00840A5B"/>
    <w:rsid w:val="00840FE8"/>
    <w:rsid w:val="008417B8"/>
    <w:rsid w:val="00843E73"/>
    <w:rsid w:val="00844A03"/>
    <w:rsid w:val="00845984"/>
    <w:rsid w:val="0084696D"/>
    <w:rsid w:val="00846C10"/>
    <w:rsid w:val="008472F1"/>
    <w:rsid w:val="00851205"/>
    <w:rsid w:val="0085127C"/>
    <w:rsid w:val="00851B90"/>
    <w:rsid w:val="00851DC0"/>
    <w:rsid w:val="00852477"/>
    <w:rsid w:val="008537F5"/>
    <w:rsid w:val="0085400C"/>
    <w:rsid w:val="00854323"/>
    <w:rsid w:val="008546A0"/>
    <w:rsid w:val="008548A3"/>
    <w:rsid w:val="00854979"/>
    <w:rsid w:val="0085546B"/>
    <w:rsid w:val="0085606D"/>
    <w:rsid w:val="0085786E"/>
    <w:rsid w:val="00860425"/>
    <w:rsid w:val="008611EE"/>
    <w:rsid w:val="0086213C"/>
    <w:rsid w:val="00864727"/>
    <w:rsid w:val="00864D86"/>
    <w:rsid w:val="00864EDC"/>
    <w:rsid w:val="00865D5A"/>
    <w:rsid w:val="00866D44"/>
    <w:rsid w:val="008674C1"/>
    <w:rsid w:val="00867C7A"/>
    <w:rsid w:val="00867DBC"/>
    <w:rsid w:val="00867DCE"/>
    <w:rsid w:val="00867F97"/>
    <w:rsid w:val="00871497"/>
    <w:rsid w:val="00871F46"/>
    <w:rsid w:val="00873399"/>
    <w:rsid w:val="008739CB"/>
    <w:rsid w:val="00875368"/>
    <w:rsid w:val="00875B4F"/>
    <w:rsid w:val="00875CB0"/>
    <w:rsid w:val="00875D34"/>
    <w:rsid w:val="0087664E"/>
    <w:rsid w:val="00877A66"/>
    <w:rsid w:val="00880712"/>
    <w:rsid w:val="0088101D"/>
    <w:rsid w:val="00881ADA"/>
    <w:rsid w:val="00883859"/>
    <w:rsid w:val="00883AA3"/>
    <w:rsid w:val="00883B48"/>
    <w:rsid w:val="0088438A"/>
    <w:rsid w:val="00886306"/>
    <w:rsid w:val="008866E1"/>
    <w:rsid w:val="00890CF3"/>
    <w:rsid w:val="00892FD3"/>
    <w:rsid w:val="00893464"/>
    <w:rsid w:val="00893DDB"/>
    <w:rsid w:val="00893E94"/>
    <w:rsid w:val="0089454E"/>
    <w:rsid w:val="008955B0"/>
    <w:rsid w:val="0089572E"/>
    <w:rsid w:val="00895898"/>
    <w:rsid w:val="00895F46"/>
    <w:rsid w:val="00897D8C"/>
    <w:rsid w:val="008A1E25"/>
    <w:rsid w:val="008A1FF8"/>
    <w:rsid w:val="008A4230"/>
    <w:rsid w:val="008A4365"/>
    <w:rsid w:val="008A4B50"/>
    <w:rsid w:val="008A4E12"/>
    <w:rsid w:val="008B17B4"/>
    <w:rsid w:val="008B20E8"/>
    <w:rsid w:val="008B338D"/>
    <w:rsid w:val="008B3EF3"/>
    <w:rsid w:val="008B46FD"/>
    <w:rsid w:val="008B4747"/>
    <w:rsid w:val="008B498E"/>
    <w:rsid w:val="008B4E7A"/>
    <w:rsid w:val="008B6687"/>
    <w:rsid w:val="008B671D"/>
    <w:rsid w:val="008C0082"/>
    <w:rsid w:val="008C014A"/>
    <w:rsid w:val="008C0577"/>
    <w:rsid w:val="008C08F1"/>
    <w:rsid w:val="008C37C7"/>
    <w:rsid w:val="008C37EE"/>
    <w:rsid w:val="008C45E7"/>
    <w:rsid w:val="008C4F0C"/>
    <w:rsid w:val="008C50F1"/>
    <w:rsid w:val="008C6BFF"/>
    <w:rsid w:val="008C6E42"/>
    <w:rsid w:val="008C6E5E"/>
    <w:rsid w:val="008C77CB"/>
    <w:rsid w:val="008D1AA2"/>
    <w:rsid w:val="008D1D17"/>
    <w:rsid w:val="008D2A34"/>
    <w:rsid w:val="008D2B06"/>
    <w:rsid w:val="008D2D02"/>
    <w:rsid w:val="008D5538"/>
    <w:rsid w:val="008D59A5"/>
    <w:rsid w:val="008D703F"/>
    <w:rsid w:val="008D7266"/>
    <w:rsid w:val="008D759B"/>
    <w:rsid w:val="008D75F1"/>
    <w:rsid w:val="008D776B"/>
    <w:rsid w:val="008E1738"/>
    <w:rsid w:val="008E1AB1"/>
    <w:rsid w:val="008E29FF"/>
    <w:rsid w:val="008E2A68"/>
    <w:rsid w:val="008E303D"/>
    <w:rsid w:val="008E3042"/>
    <w:rsid w:val="008E34F9"/>
    <w:rsid w:val="008E3E9A"/>
    <w:rsid w:val="008E41B5"/>
    <w:rsid w:val="008E486F"/>
    <w:rsid w:val="008E52B9"/>
    <w:rsid w:val="008E5331"/>
    <w:rsid w:val="008E6272"/>
    <w:rsid w:val="008E6A13"/>
    <w:rsid w:val="008E7866"/>
    <w:rsid w:val="008E794D"/>
    <w:rsid w:val="008E7CBE"/>
    <w:rsid w:val="008F1245"/>
    <w:rsid w:val="008F189A"/>
    <w:rsid w:val="008F19B7"/>
    <w:rsid w:val="008F1DA9"/>
    <w:rsid w:val="008F1E0D"/>
    <w:rsid w:val="008F228D"/>
    <w:rsid w:val="008F29DF"/>
    <w:rsid w:val="008F2D54"/>
    <w:rsid w:val="008F2F84"/>
    <w:rsid w:val="008F47F4"/>
    <w:rsid w:val="008F613E"/>
    <w:rsid w:val="008F6353"/>
    <w:rsid w:val="008F6AAD"/>
    <w:rsid w:val="008F6CB6"/>
    <w:rsid w:val="00901597"/>
    <w:rsid w:val="00901BA0"/>
    <w:rsid w:val="00901D47"/>
    <w:rsid w:val="00901D71"/>
    <w:rsid w:val="00902487"/>
    <w:rsid w:val="00902E4E"/>
    <w:rsid w:val="0090329D"/>
    <w:rsid w:val="009032A8"/>
    <w:rsid w:val="009059FF"/>
    <w:rsid w:val="00905D79"/>
    <w:rsid w:val="009061D8"/>
    <w:rsid w:val="00906275"/>
    <w:rsid w:val="00906983"/>
    <w:rsid w:val="00906D40"/>
    <w:rsid w:val="009112A4"/>
    <w:rsid w:val="009112DC"/>
    <w:rsid w:val="0091403A"/>
    <w:rsid w:val="00914E19"/>
    <w:rsid w:val="00915164"/>
    <w:rsid w:val="00916429"/>
    <w:rsid w:val="00916735"/>
    <w:rsid w:val="00916994"/>
    <w:rsid w:val="00916ECE"/>
    <w:rsid w:val="009176D9"/>
    <w:rsid w:val="009203E5"/>
    <w:rsid w:val="009208E4"/>
    <w:rsid w:val="00920E39"/>
    <w:rsid w:val="00921767"/>
    <w:rsid w:val="00921D72"/>
    <w:rsid w:val="00921E3A"/>
    <w:rsid w:val="009238BC"/>
    <w:rsid w:val="00925077"/>
    <w:rsid w:val="00926CE0"/>
    <w:rsid w:val="00926FAA"/>
    <w:rsid w:val="00927678"/>
    <w:rsid w:val="00927931"/>
    <w:rsid w:val="00927EC7"/>
    <w:rsid w:val="00930538"/>
    <w:rsid w:val="009307D0"/>
    <w:rsid w:val="00931188"/>
    <w:rsid w:val="00932B83"/>
    <w:rsid w:val="00933503"/>
    <w:rsid w:val="009338D5"/>
    <w:rsid w:val="009353DE"/>
    <w:rsid w:val="0093587E"/>
    <w:rsid w:val="00936091"/>
    <w:rsid w:val="009360CD"/>
    <w:rsid w:val="0093623C"/>
    <w:rsid w:val="00936C93"/>
    <w:rsid w:val="009377BF"/>
    <w:rsid w:val="00937954"/>
    <w:rsid w:val="00937D08"/>
    <w:rsid w:val="0094001C"/>
    <w:rsid w:val="009403F1"/>
    <w:rsid w:val="00940BAF"/>
    <w:rsid w:val="00941BB0"/>
    <w:rsid w:val="0094225F"/>
    <w:rsid w:val="00943800"/>
    <w:rsid w:val="00946853"/>
    <w:rsid w:val="0094724A"/>
    <w:rsid w:val="009476EC"/>
    <w:rsid w:val="0095053A"/>
    <w:rsid w:val="00950B96"/>
    <w:rsid w:val="00951CFB"/>
    <w:rsid w:val="00951DE6"/>
    <w:rsid w:val="00951F17"/>
    <w:rsid w:val="00951F90"/>
    <w:rsid w:val="00953FFA"/>
    <w:rsid w:val="00954307"/>
    <w:rsid w:val="009543A9"/>
    <w:rsid w:val="00954546"/>
    <w:rsid w:val="0095492B"/>
    <w:rsid w:val="00954DA9"/>
    <w:rsid w:val="00954EAB"/>
    <w:rsid w:val="00955B56"/>
    <w:rsid w:val="00956529"/>
    <w:rsid w:val="009568F5"/>
    <w:rsid w:val="00956DF3"/>
    <w:rsid w:val="00957DF6"/>
    <w:rsid w:val="009601CB"/>
    <w:rsid w:val="009607E6"/>
    <w:rsid w:val="009615CC"/>
    <w:rsid w:val="00961869"/>
    <w:rsid w:val="0096241D"/>
    <w:rsid w:val="00962896"/>
    <w:rsid w:val="00962A71"/>
    <w:rsid w:val="0096412C"/>
    <w:rsid w:val="00966C8E"/>
    <w:rsid w:val="00967EF0"/>
    <w:rsid w:val="00971038"/>
    <w:rsid w:val="00971BF0"/>
    <w:rsid w:val="009728A3"/>
    <w:rsid w:val="009733AE"/>
    <w:rsid w:val="00973F34"/>
    <w:rsid w:val="00974574"/>
    <w:rsid w:val="00974630"/>
    <w:rsid w:val="009753F5"/>
    <w:rsid w:val="00977788"/>
    <w:rsid w:val="009778CF"/>
    <w:rsid w:val="009808B0"/>
    <w:rsid w:val="00981032"/>
    <w:rsid w:val="00981A7F"/>
    <w:rsid w:val="0098217B"/>
    <w:rsid w:val="009824FD"/>
    <w:rsid w:val="00982833"/>
    <w:rsid w:val="00983C6A"/>
    <w:rsid w:val="00983CAD"/>
    <w:rsid w:val="00983D4F"/>
    <w:rsid w:val="009841C9"/>
    <w:rsid w:val="00985BC0"/>
    <w:rsid w:val="00985D70"/>
    <w:rsid w:val="0098767A"/>
    <w:rsid w:val="00987924"/>
    <w:rsid w:val="00987DD8"/>
    <w:rsid w:val="0099016A"/>
    <w:rsid w:val="009933FF"/>
    <w:rsid w:val="00994EDD"/>
    <w:rsid w:val="00994F38"/>
    <w:rsid w:val="00994F3D"/>
    <w:rsid w:val="00995911"/>
    <w:rsid w:val="00995EB4"/>
    <w:rsid w:val="0099605C"/>
    <w:rsid w:val="009A08BA"/>
    <w:rsid w:val="009A0E33"/>
    <w:rsid w:val="009A1562"/>
    <w:rsid w:val="009A17AB"/>
    <w:rsid w:val="009A1CC5"/>
    <w:rsid w:val="009A43E1"/>
    <w:rsid w:val="009A46D9"/>
    <w:rsid w:val="009A541D"/>
    <w:rsid w:val="009A56CD"/>
    <w:rsid w:val="009A66D9"/>
    <w:rsid w:val="009A6D33"/>
    <w:rsid w:val="009B0A3A"/>
    <w:rsid w:val="009B1A0E"/>
    <w:rsid w:val="009B29BD"/>
    <w:rsid w:val="009B2FEE"/>
    <w:rsid w:val="009B3B07"/>
    <w:rsid w:val="009B42E2"/>
    <w:rsid w:val="009B4590"/>
    <w:rsid w:val="009B5C9F"/>
    <w:rsid w:val="009B5F95"/>
    <w:rsid w:val="009B6635"/>
    <w:rsid w:val="009B77B2"/>
    <w:rsid w:val="009B7D74"/>
    <w:rsid w:val="009C0145"/>
    <w:rsid w:val="009C1443"/>
    <w:rsid w:val="009C298B"/>
    <w:rsid w:val="009C2B47"/>
    <w:rsid w:val="009C3396"/>
    <w:rsid w:val="009C3FED"/>
    <w:rsid w:val="009C410B"/>
    <w:rsid w:val="009C4A1D"/>
    <w:rsid w:val="009C61F6"/>
    <w:rsid w:val="009C64B9"/>
    <w:rsid w:val="009C6BF7"/>
    <w:rsid w:val="009C7251"/>
    <w:rsid w:val="009D2193"/>
    <w:rsid w:val="009D2485"/>
    <w:rsid w:val="009D3F41"/>
    <w:rsid w:val="009D4D84"/>
    <w:rsid w:val="009D53CD"/>
    <w:rsid w:val="009D5621"/>
    <w:rsid w:val="009D67FA"/>
    <w:rsid w:val="009D698B"/>
    <w:rsid w:val="009D69F8"/>
    <w:rsid w:val="009D7C55"/>
    <w:rsid w:val="009E17ED"/>
    <w:rsid w:val="009E1C30"/>
    <w:rsid w:val="009E1C82"/>
    <w:rsid w:val="009E1F8E"/>
    <w:rsid w:val="009E25C2"/>
    <w:rsid w:val="009E2893"/>
    <w:rsid w:val="009E293C"/>
    <w:rsid w:val="009E2CE4"/>
    <w:rsid w:val="009E2D0C"/>
    <w:rsid w:val="009E39B0"/>
    <w:rsid w:val="009E4475"/>
    <w:rsid w:val="009E4573"/>
    <w:rsid w:val="009E583A"/>
    <w:rsid w:val="009E6EF5"/>
    <w:rsid w:val="009E70C8"/>
    <w:rsid w:val="009E7487"/>
    <w:rsid w:val="009E7561"/>
    <w:rsid w:val="009E775E"/>
    <w:rsid w:val="009E784A"/>
    <w:rsid w:val="009E7BC8"/>
    <w:rsid w:val="009F0AD9"/>
    <w:rsid w:val="009F0BFA"/>
    <w:rsid w:val="009F11CE"/>
    <w:rsid w:val="009F26CB"/>
    <w:rsid w:val="009F31FB"/>
    <w:rsid w:val="009F441B"/>
    <w:rsid w:val="009F4901"/>
    <w:rsid w:val="009F576B"/>
    <w:rsid w:val="009F61F7"/>
    <w:rsid w:val="009F65E3"/>
    <w:rsid w:val="009F70D2"/>
    <w:rsid w:val="00A009D2"/>
    <w:rsid w:val="00A0109A"/>
    <w:rsid w:val="00A01858"/>
    <w:rsid w:val="00A01A17"/>
    <w:rsid w:val="00A024ED"/>
    <w:rsid w:val="00A03ACA"/>
    <w:rsid w:val="00A05B02"/>
    <w:rsid w:val="00A07893"/>
    <w:rsid w:val="00A07B2D"/>
    <w:rsid w:val="00A10E49"/>
    <w:rsid w:val="00A11D2B"/>
    <w:rsid w:val="00A12393"/>
    <w:rsid w:val="00A12BB1"/>
    <w:rsid w:val="00A135A0"/>
    <w:rsid w:val="00A13F6D"/>
    <w:rsid w:val="00A13FDF"/>
    <w:rsid w:val="00A14C16"/>
    <w:rsid w:val="00A157EB"/>
    <w:rsid w:val="00A15A66"/>
    <w:rsid w:val="00A162FD"/>
    <w:rsid w:val="00A165C4"/>
    <w:rsid w:val="00A17F82"/>
    <w:rsid w:val="00A21E3B"/>
    <w:rsid w:val="00A22FD0"/>
    <w:rsid w:val="00A2334F"/>
    <w:rsid w:val="00A236CD"/>
    <w:rsid w:val="00A24B2C"/>
    <w:rsid w:val="00A25001"/>
    <w:rsid w:val="00A26BC7"/>
    <w:rsid w:val="00A27F0F"/>
    <w:rsid w:val="00A30DA8"/>
    <w:rsid w:val="00A313FC"/>
    <w:rsid w:val="00A32451"/>
    <w:rsid w:val="00A3342B"/>
    <w:rsid w:val="00A33D86"/>
    <w:rsid w:val="00A34A95"/>
    <w:rsid w:val="00A3574E"/>
    <w:rsid w:val="00A35F45"/>
    <w:rsid w:val="00A366B2"/>
    <w:rsid w:val="00A36759"/>
    <w:rsid w:val="00A369B7"/>
    <w:rsid w:val="00A37194"/>
    <w:rsid w:val="00A37196"/>
    <w:rsid w:val="00A37B5C"/>
    <w:rsid w:val="00A412D8"/>
    <w:rsid w:val="00A41A57"/>
    <w:rsid w:val="00A41F84"/>
    <w:rsid w:val="00A42166"/>
    <w:rsid w:val="00A42CEB"/>
    <w:rsid w:val="00A43792"/>
    <w:rsid w:val="00A43D2A"/>
    <w:rsid w:val="00A4440F"/>
    <w:rsid w:val="00A4489B"/>
    <w:rsid w:val="00A44EAA"/>
    <w:rsid w:val="00A45451"/>
    <w:rsid w:val="00A454C0"/>
    <w:rsid w:val="00A456F3"/>
    <w:rsid w:val="00A46002"/>
    <w:rsid w:val="00A46103"/>
    <w:rsid w:val="00A4655F"/>
    <w:rsid w:val="00A472DA"/>
    <w:rsid w:val="00A5029E"/>
    <w:rsid w:val="00A51DC2"/>
    <w:rsid w:val="00A51E88"/>
    <w:rsid w:val="00A53BFB"/>
    <w:rsid w:val="00A55B4C"/>
    <w:rsid w:val="00A56FA9"/>
    <w:rsid w:val="00A57182"/>
    <w:rsid w:val="00A573FA"/>
    <w:rsid w:val="00A577BD"/>
    <w:rsid w:val="00A57A67"/>
    <w:rsid w:val="00A57E87"/>
    <w:rsid w:val="00A604AE"/>
    <w:rsid w:val="00A60675"/>
    <w:rsid w:val="00A607F1"/>
    <w:rsid w:val="00A60EB5"/>
    <w:rsid w:val="00A61A5B"/>
    <w:rsid w:val="00A62CF1"/>
    <w:rsid w:val="00A6301A"/>
    <w:rsid w:val="00A631C5"/>
    <w:rsid w:val="00A6444D"/>
    <w:rsid w:val="00A64FC0"/>
    <w:rsid w:val="00A65950"/>
    <w:rsid w:val="00A65BEE"/>
    <w:rsid w:val="00A65F83"/>
    <w:rsid w:val="00A66CFF"/>
    <w:rsid w:val="00A66D4C"/>
    <w:rsid w:val="00A701A2"/>
    <w:rsid w:val="00A71F44"/>
    <w:rsid w:val="00A71F67"/>
    <w:rsid w:val="00A72050"/>
    <w:rsid w:val="00A72553"/>
    <w:rsid w:val="00A728B4"/>
    <w:rsid w:val="00A72F33"/>
    <w:rsid w:val="00A72F6B"/>
    <w:rsid w:val="00A7360E"/>
    <w:rsid w:val="00A736F5"/>
    <w:rsid w:val="00A73BD8"/>
    <w:rsid w:val="00A7403A"/>
    <w:rsid w:val="00A747BE"/>
    <w:rsid w:val="00A74AA1"/>
    <w:rsid w:val="00A74BD1"/>
    <w:rsid w:val="00A75520"/>
    <w:rsid w:val="00A7567B"/>
    <w:rsid w:val="00A804AD"/>
    <w:rsid w:val="00A80F09"/>
    <w:rsid w:val="00A8159A"/>
    <w:rsid w:val="00A821F6"/>
    <w:rsid w:val="00A82302"/>
    <w:rsid w:val="00A8237A"/>
    <w:rsid w:val="00A8256F"/>
    <w:rsid w:val="00A858FA"/>
    <w:rsid w:val="00A85A7E"/>
    <w:rsid w:val="00A86485"/>
    <w:rsid w:val="00A86F43"/>
    <w:rsid w:val="00A87882"/>
    <w:rsid w:val="00A87A74"/>
    <w:rsid w:val="00A90FE2"/>
    <w:rsid w:val="00A91A3D"/>
    <w:rsid w:val="00A924A7"/>
    <w:rsid w:val="00A92651"/>
    <w:rsid w:val="00A92AFF"/>
    <w:rsid w:val="00A9313F"/>
    <w:rsid w:val="00A93A31"/>
    <w:rsid w:val="00A94CCF"/>
    <w:rsid w:val="00A96317"/>
    <w:rsid w:val="00A96747"/>
    <w:rsid w:val="00A9700F"/>
    <w:rsid w:val="00AA1015"/>
    <w:rsid w:val="00AA1DD9"/>
    <w:rsid w:val="00AA2008"/>
    <w:rsid w:val="00AA202E"/>
    <w:rsid w:val="00AA24AB"/>
    <w:rsid w:val="00AA2703"/>
    <w:rsid w:val="00AA2A33"/>
    <w:rsid w:val="00AA2D3E"/>
    <w:rsid w:val="00AA3F13"/>
    <w:rsid w:val="00AA54E2"/>
    <w:rsid w:val="00AA6689"/>
    <w:rsid w:val="00AA70EC"/>
    <w:rsid w:val="00AB05E0"/>
    <w:rsid w:val="00AB158F"/>
    <w:rsid w:val="00AB2860"/>
    <w:rsid w:val="00AB2B6D"/>
    <w:rsid w:val="00AB35AC"/>
    <w:rsid w:val="00AB5F57"/>
    <w:rsid w:val="00AB627A"/>
    <w:rsid w:val="00AB6A99"/>
    <w:rsid w:val="00AB6FB9"/>
    <w:rsid w:val="00AB71D4"/>
    <w:rsid w:val="00AB7A0B"/>
    <w:rsid w:val="00AB7BC0"/>
    <w:rsid w:val="00AC0804"/>
    <w:rsid w:val="00AC1521"/>
    <w:rsid w:val="00AC24AA"/>
    <w:rsid w:val="00AC256B"/>
    <w:rsid w:val="00AC2E25"/>
    <w:rsid w:val="00AC4093"/>
    <w:rsid w:val="00AC442B"/>
    <w:rsid w:val="00AC4E14"/>
    <w:rsid w:val="00AC583E"/>
    <w:rsid w:val="00AC59F0"/>
    <w:rsid w:val="00AC62C7"/>
    <w:rsid w:val="00AC703B"/>
    <w:rsid w:val="00AD07EF"/>
    <w:rsid w:val="00AD143C"/>
    <w:rsid w:val="00AD14C8"/>
    <w:rsid w:val="00AD14D4"/>
    <w:rsid w:val="00AD14D6"/>
    <w:rsid w:val="00AD1C69"/>
    <w:rsid w:val="00AD2636"/>
    <w:rsid w:val="00AD39D1"/>
    <w:rsid w:val="00AD3EBA"/>
    <w:rsid w:val="00AD4064"/>
    <w:rsid w:val="00AD43A6"/>
    <w:rsid w:val="00AD451D"/>
    <w:rsid w:val="00AD55CB"/>
    <w:rsid w:val="00AD5E45"/>
    <w:rsid w:val="00AD5EAB"/>
    <w:rsid w:val="00AD62D6"/>
    <w:rsid w:val="00AD6438"/>
    <w:rsid w:val="00AD6451"/>
    <w:rsid w:val="00AD672F"/>
    <w:rsid w:val="00AD69BA"/>
    <w:rsid w:val="00AD7798"/>
    <w:rsid w:val="00AD7DDD"/>
    <w:rsid w:val="00AD7E38"/>
    <w:rsid w:val="00AE01D0"/>
    <w:rsid w:val="00AE056D"/>
    <w:rsid w:val="00AE2492"/>
    <w:rsid w:val="00AE287C"/>
    <w:rsid w:val="00AE293C"/>
    <w:rsid w:val="00AE3A71"/>
    <w:rsid w:val="00AE413C"/>
    <w:rsid w:val="00AE45C5"/>
    <w:rsid w:val="00AE562E"/>
    <w:rsid w:val="00AE5A7E"/>
    <w:rsid w:val="00AE5CB5"/>
    <w:rsid w:val="00AE611A"/>
    <w:rsid w:val="00AE73D4"/>
    <w:rsid w:val="00AE7412"/>
    <w:rsid w:val="00AF0156"/>
    <w:rsid w:val="00AF08F6"/>
    <w:rsid w:val="00AF15C2"/>
    <w:rsid w:val="00AF1E7E"/>
    <w:rsid w:val="00AF309D"/>
    <w:rsid w:val="00AF5E36"/>
    <w:rsid w:val="00B00C29"/>
    <w:rsid w:val="00B01159"/>
    <w:rsid w:val="00B013EB"/>
    <w:rsid w:val="00B016EF"/>
    <w:rsid w:val="00B0265E"/>
    <w:rsid w:val="00B0284E"/>
    <w:rsid w:val="00B03E83"/>
    <w:rsid w:val="00B04FBF"/>
    <w:rsid w:val="00B055BB"/>
    <w:rsid w:val="00B06459"/>
    <w:rsid w:val="00B06CFD"/>
    <w:rsid w:val="00B06D66"/>
    <w:rsid w:val="00B07050"/>
    <w:rsid w:val="00B077AF"/>
    <w:rsid w:val="00B0794D"/>
    <w:rsid w:val="00B104D9"/>
    <w:rsid w:val="00B10734"/>
    <w:rsid w:val="00B11619"/>
    <w:rsid w:val="00B11A9B"/>
    <w:rsid w:val="00B11FCB"/>
    <w:rsid w:val="00B12F90"/>
    <w:rsid w:val="00B135E6"/>
    <w:rsid w:val="00B1513D"/>
    <w:rsid w:val="00B154AD"/>
    <w:rsid w:val="00B161D6"/>
    <w:rsid w:val="00B173A2"/>
    <w:rsid w:val="00B2002D"/>
    <w:rsid w:val="00B2137D"/>
    <w:rsid w:val="00B218A0"/>
    <w:rsid w:val="00B22157"/>
    <w:rsid w:val="00B222BF"/>
    <w:rsid w:val="00B223BA"/>
    <w:rsid w:val="00B22549"/>
    <w:rsid w:val="00B23786"/>
    <w:rsid w:val="00B241CD"/>
    <w:rsid w:val="00B24349"/>
    <w:rsid w:val="00B24664"/>
    <w:rsid w:val="00B252B9"/>
    <w:rsid w:val="00B25531"/>
    <w:rsid w:val="00B25E7D"/>
    <w:rsid w:val="00B27217"/>
    <w:rsid w:val="00B27296"/>
    <w:rsid w:val="00B2749A"/>
    <w:rsid w:val="00B3062C"/>
    <w:rsid w:val="00B3193E"/>
    <w:rsid w:val="00B32E90"/>
    <w:rsid w:val="00B34313"/>
    <w:rsid w:val="00B34E70"/>
    <w:rsid w:val="00B35122"/>
    <w:rsid w:val="00B35685"/>
    <w:rsid w:val="00B35CAC"/>
    <w:rsid w:val="00B3767F"/>
    <w:rsid w:val="00B42865"/>
    <w:rsid w:val="00B43A80"/>
    <w:rsid w:val="00B43B34"/>
    <w:rsid w:val="00B43D25"/>
    <w:rsid w:val="00B440F4"/>
    <w:rsid w:val="00B44BF3"/>
    <w:rsid w:val="00B44F69"/>
    <w:rsid w:val="00B460EE"/>
    <w:rsid w:val="00B4662C"/>
    <w:rsid w:val="00B46FE4"/>
    <w:rsid w:val="00B47856"/>
    <w:rsid w:val="00B47946"/>
    <w:rsid w:val="00B51140"/>
    <w:rsid w:val="00B5168D"/>
    <w:rsid w:val="00B51755"/>
    <w:rsid w:val="00B52226"/>
    <w:rsid w:val="00B522CE"/>
    <w:rsid w:val="00B5259A"/>
    <w:rsid w:val="00B5389A"/>
    <w:rsid w:val="00B54171"/>
    <w:rsid w:val="00B56F06"/>
    <w:rsid w:val="00B61863"/>
    <w:rsid w:val="00B62597"/>
    <w:rsid w:val="00B6374F"/>
    <w:rsid w:val="00B63B5C"/>
    <w:rsid w:val="00B63D4D"/>
    <w:rsid w:val="00B6600B"/>
    <w:rsid w:val="00B665B5"/>
    <w:rsid w:val="00B70216"/>
    <w:rsid w:val="00B713C7"/>
    <w:rsid w:val="00B71BA1"/>
    <w:rsid w:val="00B71D08"/>
    <w:rsid w:val="00B71FB3"/>
    <w:rsid w:val="00B7330C"/>
    <w:rsid w:val="00B73886"/>
    <w:rsid w:val="00B74FB6"/>
    <w:rsid w:val="00B7559B"/>
    <w:rsid w:val="00B8006C"/>
    <w:rsid w:val="00B83385"/>
    <w:rsid w:val="00B84DC9"/>
    <w:rsid w:val="00B85705"/>
    <w:rsid w:val="00B858E3"/>
    <w:rsid w:val="00B86F5F"/>
    <w:rsid w:val="00B8778B"/>
    <w:rsid w:val="00B87DBE"/>
    <w:rsid w:val="00B90AF9"/>
    <w:rsid w:val="00B918B5"/>
    <w:rsid w:val="00B92FEE"/>
    <w:rsid w:val="00B93FFF"/>
    <w:rsid w:val="00B94239"/>
    <w:rsid w:val="00B94353"/>
    <w:rsid w:val="00B943FD"/>
    <w:rsid w:val="00B95173"/>
    <w:rsid w:val="00B95214"/>
    <w:rsid w:val="00B9566A"/>
    <w:rsid w:val="00B979DB"/>
    <w:rsid w:val="00BA1386"/>
    <w:rsid w:val="00BA1500"/>
    <w:rsid w:val="00BA2448"/>
    <w:rsid w:val="00BA4083"/>
    <w:rsid w:val="00BA448A"/>
    <w:rsid w:val="00BA4499"/>
    <w:rsid w:val="00BA49AE"/>
    <w:rsid w:val="00BA4A65"/>
    <w:rsid w:val="00BA5484"/>
    <w:rsid w:val="00BA5581"/>
    <w:rsid w:val="00BA7D7A"/>
    <w:rsid w:val="00BA7E5C"/>
    <w:rsid w:val="00BA7FC1"/>
    <w:rsid w:val="00BB177F"/>
    <w:rsid w:val="00BB1A30"/>
    <w:rsid w:val="00BB1A59"/>
    <w:rsid w:val="00BB1F71"/>
    <w:rsid w:val="00BB23E7"/>
    <w:rsid w:val="00BB24EC"/>
    <w:rsid w:val="00BB455A"/>
    <w:rsid w:val="00BB46BC"/>
    <w:rsid w:val="00BB4A39"/>
    <w:rsid w:val="00BB5421"/>
    <w:rsid w:val="00BB6031"/>
    <w:rsid w:val="00BB694F"/>
    <w:rsid w:val="00BB6960"/>
    <w:rsid w:val="00BB7984"/>
    <w:rsid w:val="00BB7FBC"/>
    <w:rsid w:val="00BC01AA"/>
    <w:rsid w:val="00BC09B7"/>
    <w:rsid w:val="00BC1345"/>
    <w:rsid w:val="00BC2AB0"/>
    <w:rsid w:val="00BC2D06"/>
    <w:rsid w:val="00BC3279"/>
    <w:rsid w:val="00BC36CD"/>
    <w:rsid w:val="00BC42E9"/>
    <w:rsid w:val="00BC5501"/>
    <w:rsid w:val="00BC6835"/>
    <w:rsid w:val="00BC71A4"/>
    <w:rsid w:val="00BC786D"/>
    <w:rsid w:val="00BC7A4F"/>
    <w:rsid w:val="00BC7EB6"/>
    <w:rsid w:val="00BD02BF"/>
    <w:rsid w:val="00BD172A"/>
    <w:rsid w:val="00BD1D26"/>
    <w:rsid w:val="00BD22EC"/>
    <w:rsid w:val="00BD33E5"/>
    <w:rsid w:val="00BD442C"/>
    <w:rsid w:val="00BD50C0"/>
    <w:rsid w:val="00BD5AB2"/>
    <w:rsid w:val="00BD5EB7"/>
    <w:rsid w:val="00BD6A41"/>
    <w:rsid w:val="00BD6B0A"/>
    <w:rsid w:val="00BD6EDD"/>
    <w:rsid w:val="00BD7062"/>
    <w:rsid w:val="00BD777C"/>
    <w:rsid w:val="00BD784A"/>
    <w:rsid w:val="00BE01E3"/>
    <w:rsid w:val="00BE130C"/>
    <w:rsid w:val="00BE2147"/>
    <w:rsid w:val="00BE28A6"/>
    <w:rsid w:val="00BE38BC"/>
    <w:rsid w:val="00BE3EB2"/>
    <w:rsid w:val="00BE441D"/>
    <w:rsid w:val="00BE6D42"/>
    <w:rsid w:val="00BE6D64"/>
    <w:rsid w:val="00BF114F"/>
    <w:rsid w:val="00BF13A4"/>
    <w:rsid w:val="00BF1D96"/>
    <w:rsid w:val="00BF28F0"/>
    <w:rsid w:val="00BF3004"/>
    <w:rsid w:val="00BF31C1"/>
    <w:rsid w:val="00BF392C"/>
    <w:rsid w:val="00BF3F0F"/>
    <w:rsid w:val="00BF5AC0"/>
    <w:rsid w:val="00BF68C1"/>
    <w:rsid w:val="00BF6AEF"/>
    <w:rsid w:val="00BF6B17"/>
    <w:rsid w:val="00BF6E0A"/>
    <w:rsid w:val="00C001F9"/>
    <w:rsid w:val="00C012CC"/>
    <w:rsid w:val="00C01E9D"/>
    <w:rsid w:val="00C0245D"/>
    <w:rsid w:val="00C034C5"/>
    <w:rsid w:val="00C03516"/>
    <w:rsid w:val="00C0361E"/>
    <w:rsid w:val="00C04258"/>
    <w:rsid w:val="00C06107"/>
    <w:rsid w:val="00C06846"/>
    <w:rsid w:val="00C06907"/>
    <w:rsid w:val="00C0762A"/>
    <w:rsid w:val="00C076D6"/>
    <w:rsid w:val="00C07BA4"/>
    <w:rsid w:val="00C103F4"/>
    <w:rsid w:val="00C109D4"/>
    <w:rsid w:val="00C10E23"/>
    <w:rsid w:val="00C1187A"/>
    <w:rsid w:val="00C11C6F"/>
    <w:rsid w:val="00C12F2B"/>
    <w:rsid w:val="00C1371A"/>
    <w:rsid w:val="00C1416E"/>
    <w:rsid w:val="00C14225"/>
    <w:rsid w:val="00C1491B"/>
    <w:rsid w:val="00C1548C"/>
    <w:rsid w:val="00C1640E"/>
    <w:rsid w:val="00C16F7C"/>
    <w:rsid w:val="00C17CEC"/>
    <w:rsid w:val="00C216D9"/>
    <w:rsid w:val="00C22A22"/>
    <w:rsid w:val="00C25D89"/>
    <w:rsid w:val="00C26257"/>
    <w:rsid w:val="00C26367"/>
    <w:rsid w:val="00C27991"/>
    <w:rsid w:val="00C27FAB"/>
    <w:rsid w:val="00C3020B"/>
    <w:rsid w:val="00C3268B"/>
    <w:rsid w:val="00C32955"/>
    <w:rsid w:val="00C32B7B"/>
    <w:rsid w:val="00C33E80"/>
    <w:rsid w:val="00C33E8B"/>
    <w:rsid w:val="00C3671A"/>
    <w:rsid w:val="00C37D1A"/>
    <w:rsid w:val="00C4201D"/>
    <w:rsid w:val="00C432CE"/>
    <w:rsid w:val="00C435D8"/>
    <w:rsid w:val="00C43B07"/>
    <w:rsid w:val="00C44517"/>
    <w:rsid w:val="00C45448"/>
    <w:rsid w:val="00C45B68"/>
    <w:rsid w:val="00C4642E"/>
    <w:rsid w:val="00C464E0"/>
    <w:rsid w:val="00C46B06"/>
    <w:rsid w:val="00C46CAB"/>
    <w:rsid w:val="00C46EEF"/>
    <w:rsid w:val="00C47AFB"/>
    <w:rsid w:val="00C47B00"/>
    <w:rsid w:val="00C536CC"/>
    <w:rsid w:val="00C5416A"/>
    <w:rsid w:val="00C54DAE"/>
    <w:rsid w:val="00C55931"/>
    <w:rsid w:val="00C564CC"/>
    <w:rsid w:val="00C56FAD"/>
    <w:rsid w:val="00C57815"/>
    <w:rsid w:val="00C607FA"/>
    <w:rsid w:val="00C60D48"/>
    <w:rsid w:val="00C610BA"/>
    <w:rsid w:val="00C61B7F"/>
    <w:rsid w:val="00C63763"/>
    <w:rsid w:val="00C63AE2"/>
    <w:rsid w:val="00C652BD"/>
    <w:rsid w:val="00C654B1"/>
    <w:rsid w:val="00C679C8"/>
    <w:rsid w:val="00C67B91"/>
    <w:rsid w:val="00C7206B"/>
    <w:rsid w:val="00C7253C"/>
    <w:rsid w:val="00C730E0"/>
    <w:rsid w:val="00C7419A"/>
    <w:rsid w:val="00C74806"/>
    <w:rsid w:val="00C75D31"/>
    <w:rsid w:val="00C80002"/>
    <w:rsid w:val="00C81402"/>
    <w:rsid w:val="00C82260"/>
    <w:rsid w:val="00C831BB"/>
    <w:rsid w:val="00C839B7"/>
    <w:rsid w:val="00C84651"/>
    <w:rsid w:val="00C84E2A"/>
    <w:rsid w:val="00C85236"/>
    <w:rsid w:val="00C85652"/>
    <w:rsid w:val="00C856E8"/>
    <w:rsid w:val="00C863D9"/>
    <w:rsid w:val="00C87F21"/>
    <w:rsid w:val="00C90600"/>
    <w:rsid w:val="00C90B68"/>
    <w:rsid w:val="00C9124A"/>
    <w:rsid w:val="00C9133B"/>
    <w:rsid w:val="00C91AAA"/>
    <w:rsid w:val="00C9262B"/>
    <w:rsid w:val="00C92C40"/>
    <w:rsid w:val="00C935A1"/>
    <w:rsid w:val="00C93E43"/>
    <w:rsid w:val="00C93F6B"/>
    <w:rsid w:val="00C94A5D"/>
    <w:rsid w:val="00C94BD5"/>
    <w:rsid w:val="00C950D9"/>
    <w:rsid w:val="00C956EA"/>
    <w:rsid w:val="00C96468"/>
    <w:rsid w:val="00C9703F"/>
    <w:rsid w:val="00C97374"/>
    <w:rsid w:val="00C97B5E"/>
    <w:rsid w:val="00CA0579"/>
    <w:rsid w:val="00CA09B8"/>
    <w:rsid w:val="00CA09D3"/>
    <w:rsid w:val="00CA0A98"/>
    <w:rsid w:val="00CA0CD6"/>
    <w:rsid w:val="00CA1D51"/>
    <w:rsid w:val="00CA2CA8"/>
    <w:rsid w:val="00CA36ED"/>
    <w:rsid w:val="00CA41B6"/>
    <w:rsid w:val="00CA5B6C"/>
    <w:rsid w:val="00CA5BCE"/>
    <w:rsid w:val="00CA67CD"/>
    <w:rsid w:val="00CA745A"/>
    <w:rsid w:val="00CA7E39"/>
    <w:rsid w:val="00CB128D"/>
    <w:rsid w:val="00CB135B"/>
    <w:rsid w:val="00CB145A"/>
    <w:rsid w:val="00CB176F"/>
    <w:rsid w:val="00CB2856"/>
    <w:rsid w:val="00CB4546"/>
    <w:rsid w:val="00CB459E"/>
    <w:rsid w:val="00CB59F1"/>
    <w:rsid w:val="00CB5E4F"/>
    <w:rsid w:val="00CB64A8"/>
    <w:rsid w:val="00CB6F8E"/>
    <w:rsid w:val="00CB7155"/>
    <w:rsid w:val="00CB7CCC"/>
    <w:rsid w:val="00CB7E10"/>
    <w:rsid w:val="00CC14E5"/>
    <w:rsid w:val="00CC1869"/>
    <w:rsid w:val="00CC18E1"/>
    <w:rsid w:val="00CC1908"/>
    <w:rsid w:val="00CC2BAA"/>
    <w:rsid w:val="00CC3C5D"/>
    <w:rsid w:val="00CC3D3E"/>
    <w:rsid w:val="00CC4D3C"/>
    <w:rsid w:val="00CC5AC1"/>
    <w:rsid w:val="00CC6397"/>
    <w:rsid w:val="00CC661F"/>
    <w:rsid w:val="00CC7676"/>
    <w:rsid w:val="00CD0C9A"/>
    <w:rsid w:val="00CD10A1"/>
    <w:rsid w:val="00CD3030"/>
    <w:rsid w:val="00CD3A2D"/>
    <w:rsid w:val="00CD4126"/>
    <w:rsid w:val="00CD4C8D"/>
    <w:rsid w:val="00CD520D"/>
    <w:rsid w:val="00CD6CBD"/>
    <w:rsid w:val="00CD6E18"/>
    <w:rsid w:val="00CE0DB6"/>
    <w:rsid w:val="00CE1028"/>
    <w:rsid w:val="00CE1A3D"/>
    <w:rsid w:val="00CE1B8E"/>
    <w:rsid w:val="00CE1E22"/>
    <w:rsid w:val="00CE246E"/>
    <w:rsid w:val="00CE3944"/>
    <w:rsid w:val="00CE3A7F"/>
    <w:rsid w:val="00CE3CDA"/>
    <w:rsid w:val="00CE6A1D"/>
    <w:rsid w:val="00CE7237"/>
    <w:rsid w:val="00CF0828"/>
    <w:rsid w:val="00CF0CCC"/>
    <w:rsid w:val="00CF263F"/>
    <w:rsid w:val="00CF2669"/>
    <w:rsid w:val="00CF4CE6"/>
    <w:rsid w:val="00CF58F4"/>
    <w:rsid w:val="00CF61E8"/>
    <w:rsid w:val="00CF6D2E"/>
    <w:rsid w:val="00CF712C"/>
    <w:rsid w:val="00D00C2A"/>
    <w:rsid w:val="00D02311"/>
    <w:rsid w:val="00D024F6"/>
    <w:rsid w:val="00D026F6"/>
    <w:rsid w:val="00D03257"/>
    <w:rsid w:val="00D032B9"/>
    <w:rsid w:val="00D058F7"/>
    <w:rsid w:val="00D06A10"/>
    <w:rsid w:val="00D06B2C"/>
    <w:rsid w:val="00D077B9"/>
    <w:rsid w:val="00D07D57"/>
    <w:rsid w:val="00D11129"/>
    <w:rsid w:val="00D111C9"/>
    <w:rsid w:val="00D11E69"/>
    <w:rsid w:val="00D120A5"/>
    <w:rsid w:val="00D12470"/>
    <w:rsid w:val="00D128DF"/>
    <w:rsid w:val="00D13422"/>
    <w:rsid w:val="00D1422C"/>
    <w:rsid w:val="00D14E8A"/>
    <w:rsid w:val="00D15E28"/>
    <w:rsid w:val="00D160AC"/>
    <w:rsid w:val="00D16C1C"/>
    <w:rsid w:val="00D17D79"/>
    <w:rsid w:val="00D208BB"/>
    <w:rsid w:val="00D2219D"/>
    <w:rsid w:val="00D226BF"/>
    <w:rsid w:val="00D22BAB"/>
    <w:rsid w:val="00D23AAC"/>
    <w:rsid w:val="00D25318"/>
    <w:rsid w:val="00D26115"/>
    <w:rsid w:val="00D30BB8"/>
    <w:rsid w:val="00D30EDD"/>
    <w:rsid w:val="00D31CBB"/>
    <w:rsid w:val="00D32750"/>
    <w:rsid w:val="00D3410B"/>
    <w:rsid w:val="00D35AAA"/>
    <w:rsid w:val="00D35F37"/>
    <w:rsid w:val="00D36093"/>
    <w:rsid w:val="00D36517"/>
    <w:rsid w:val="00D36817"/>
    <w:rsid w:val="00D3706E"/>
    <w:rsid w:val="00D372F0"/>
    <w:rsid w:val="00D37CC3"/>
    <w:rsid w:val="00D37EFD"/>
    <w:rsid w:val="00D41733"/>
    <w:rsid w:val="00D42409"/>
    <w:rsid w:val="00D4294A"/>
    <w:rsid w:val="00D43254"/>
    <w:rsid w:val="00D438B7"/>
    <w:rsid w:val="00D4526B"/>
    <w:rsid w:val="00D45B31"/>
    <w:rsid w:val="00D45C62"/>
    <w:rsid w:val="00D46134"/>
    <w:rsid w:val="00D46CD3"/>
    <w:rsid w:val="00D502EE"/>
    <w:rsid w:val="00D51AEC"/>
    <w:rsid w:val="00D51EA2"/>
    <w:rsid w:val="00D52080"/>
    <w:rsid w:val="00D53796"/>
    <w:rsid w:val="00D53D80"/>
    <w:rsid w:val="00D53FDA"/>
    <w:rsid w:val="00D546FC"/>
    <w:rsid w:val="00D54C52"/>
    <w:rsid w:val="00D54DB9"/>
    <w:rsid w:val="00D55D85"/>
    <w:rsid w:val="00D561D9"/>
    <w:rsid w:val="00D562BA"/>
    <w:rsid w:val="00D56434"/>
    <w:rsid w:val="00D57A2E"/>
    <w:rsid w:val="00D60375"/>
    <w:rsid w:val="00D60388"/>
    <w:rsid w:val="00D607F8"/>
    <w:rsid w:val="00D60ADA"/>
    <w:rsid w:val="00D614F3"/>
    <w:rsid w:val="00D61CAF"/>
    <w:rsid w:val="00D63AA8"/>
    <w:rsid w:val="00D63F6F"/>
    <w:rsid w:val="00D64A1A"/>
    <w:rsid w:val="00D654AF"/>
    <w:rsid w:val="00D66351"/>
    <w:rsid w:val="00D66999"/>
    <w:rsid w:val="00D678FF"/>
    <w:rsid w:val="00D708D8"/>
    <w:rsid w:val="00D7097A"/>
    <w:rsid w:val="00D719C0"/>
    <w:rsid w:val="00D738B7"/>
    <w:rsid w:val="00D76033"/>
    <w:rsid w:val="00D7603D"/>
    <w:rsid w:val="00D766B0"/>
    <w:rsid w:val="00D766B7"/>
    <w:rsid w:val="00D770BB"/>
    <w:rsid w:val="00D770EE"/>
    <w:rsid w:val="00D80673"/>
    <w:rsid w:val="00D81713"/>
    <w:rsid w:val="00D82589"/>
    <w:rsid w:val="00D83118"/>
    <w:rsid w:val="00D843D4"/>
    <w:rsid w:val="00D844A1"/>
    <w:rsid w:val="00D845BD"/>
    <w:rsid w:val="00D85456"/>
    <w:rsid w:val="00D855AB"/>
    <w:rsid w:val="00D868E9"/>
    <w:rsid w:val="00D86C4A"/>
    <w:rsid w:val="00D90C2D"/>
    <w:rsid w:val="00D90E3B"/>
    <w:rsid w:val="00D911FA"/>
    <w:rsid w:val="00D9284F"/>
    <w:rsid w:val="00D92A90"/>
    <w:rsid w:val="00D92D96"/>
    <w:rsid w:val="00D93376"/>
    <w:rsid w:val="00D93A03"/>
    <w:rsid w:val="00D93AF2"/>
    <w:rsid w:val="00D95076"/>
    <w:rsid w:val="00D9582F"/>
    <w:rsid w:val="00D95B6C"/>
    <w:rsid w:val="00D95CA1"/>
    <w:rsid w:val="00D95FEF"/>
    <w:rsid w:val="00D968A4"/>
    <w:rsid w:val="00D97126"/>
    <w:rsid w:val="00D97873"/>
    <w:rsid w:val="00D979C1"/>
    <w:rsid w:val="00DA19E0"/>
    <w:rsid w:val="00DA2890"/>
    <w:rsid w:val="00DA3934"/>
    <w:rsid w:val="00DA3A24"/>
    <w:rsid w:val="00DA48CB"/>
    <w:rsid w:val="00DA5200"/>
    <w:rsid w:val="00DA5A46"/>
    <w:rsid w:val="00DA5DC2"/>
    <w:rsid w:val="00DA5E27"/>
    <w:rsid w:val="00DA70CB"/>
    <w:rsid w:val="00DA7CFB"/>
    <w:rsid w:val="00DB1689"/>
    <w:rsid w:val="00DB180D"/>
    <w:rsid w:val="00DB1F21"/>
    <w:rsid w:val="00DB207E"/>
    <w:rsid w:val="00DB238E"/>
    <w:rsid w:val="00DB286D"/>
    <w:rsid w:val="00DB28D1"/>
    <w:rsid w:val="00DB2C1C"/>
    <w:rsid w:val="00DB2C30"/>
    <w:rsid w:val="00DB2D2C"/>
    <w:rsid w:val="00DB3796"/>
    <w:rsid w:val="00DB3B09"/>
    <w:rsid w:val="00DB3C6E"/>
    <w:rsid w:val="00DB45C5"/>
    <w:rsid w:val="00DB4F5E"/>
    <w:rsid w:val="00DB6BA2"/>
    <w:rsid w:val="00DB7138"/>
    <w:rsid w:val="00DB7B42"/>
    <w:rsid w:val="00DC1D66"/>
    <w:rsid w:val="00DC2196"/>
    <w:rsid w:val="00DC2E81"/>
    <w:rsid w:val="00DC397B"/>
    <w:rsid w:val="00DC40D7"/>
    <w:rsid w:val="00DC52CD"/>
    <w:rsid w:val="00DC620C"/>
    <w:rsid w:val="00DC6D26"/>
    <w:rsid w:val="00DC7B19"/>
    <w:rsid w:val="00DD1C77"/>
    <w:rsid w:val="00DD1CF0"/>
    <w:rsid w:val="00DD3A3F"/>
    <w:rsid w:val="00DD3BAF"/>
    <w:rsid w:val="00DD455D"/>
    <w:rsid w:val="00DD506D"/>
    <w:rsid w:val="00DD55FF"/>
    <w:rsid w:val="00DD5894"/>
    <w:rsid w:val="00DD787A"/>
    <w:rsid w:val="00DD7E62"/>
    <w:rsid w:val="00DE0959"/>
    <w:rsid w:val="00DE1AFC"/>
    <w:rsid w:val="00DE2D71"/>
    <w:rsid w:val="00DE4627"/>
    <w:rsid w:val="00DE4ED6"/>
    <w:rsid w:val="00DE60EF"/>
    <w:rsid w:val="00DE6726"/>
    <w:rsid w:val="00DE7DA8"/>
    <w:rsid w:val="00DE7EB4"/>
    <w:rsid w:val="00DF1387"/>
    <w:rsid w:val="00DF31BA"/>
    <w:rsid w:val="00DF34D2"/>
    <w:rsid w:val="00DF5282"/>
    <w:rsid w:val="00DF5A14"/>
    <w:rsid w:val="00DF70C9"/>
    <w:rsid w:val="00DF730E"/>
    <w:rsid w:val="00DF7C54"/>
    <w:rsid w:val="00E0173E"/>
    <w:rsid w:val="00E0258A"/>
    <w:rsid w:val="00E02B65"/>
    <w:rsid w:val="00E043CF"/>
    <w:rsid w:val="00E04721"/>
    <w:rsid w:val="00E0527B"/>
    <w:rsid w:val="00E0529F"/>
    <w:rsid w:val="00E05D6E"/>
    <w:rsid w:val="00E06E51"/>
    <w:rsid w:val="00E06F13"/>
    <w:rsid w:val="00E06FB2"/>
    <w:rsid w:val="00E0702A"/>
    <w:rsid w:val="00E070D2"/>
    <w:rsid w:val="00E103E7"/>
    <w:rsid w:val="00E10719"/>
    <w:rsid w:val="00E1253E"/>
    <w:rsid w:val="00E12CDC"/>
    <w:rsid w:val="00E141AF"/>
    <w:rsid w:val="00E14C44"/>
    <w:rsid w:val="00E154BA"/>
    <w:rsid w:val="00E15BB4"/>
    <w:rsid w:val="00E16451"/>
    <w:rsid w:val="00E177BA"/>
    <w:rsid w:val="00E17E97"/>
    <w:rsid w:val="00E20C15"/>
    <w:rsid w:val="00E21882"/>
    <w:rsid w:val="00E22887"/>
    <w:rsid w:val="00E22A14"/>
    <w:rsid w:val="00E22BA8"/>
    <w:rsid w:val="00E2324E"/>
    <w:rsid w:val="00E2356E"/>
    <w:rsid w:val="00E23692"/>
    <w:rsid w:val="00E23C9A"/>
    <w:rsid w:val="00E24506"/>
    <w:rsid w:val="00E245CA"/>
    <w:rsid w:val="00E24CAA"/>
    <w:rsid w:val="00E24EAD"/>
    <w:rsid w:val="00E262BA"/>
    <w:rsid w:val="00E26C28"/>
    <w:rsid w:val="00E27408"/>
    <w:rsid w:val="00E305CB"/>
    <w:rsid w:val="00E315D9"/>
    <w:rsid w:val="00E327D1"/>
    <w:rsid w:val="00E33057"/>
    <w:rsid w:val="00E33664"/>
    <w:rsid w:val="00E33867"/>
    <w:rsid w:val="00E33F35"/>
    <w:rsid w:val="00E34341"/>
    <w:rsid w:val="00E34AFD"/>
    <w:rsid w:val="00E35E8E"/>
    <w:rsid w:val="00E361FC"/>
    <w:rsid w:val="00E36A77"/>
    <w:rsid w:val="00E36EFC"/>
    <w:rsid w:val="00E36EFE"/>
    <w:rsid w:val="00E3738A"/>
    <w:rsid w:val="00E37C00"/>
    <w:rsid w:val="00E37C84"/>
    <w:rsid w:val="00E37F92"/>
    <w:rsid w:val="00E42485"/>
    <w:rsid w:val="00E4307D"/>
    <w:rsid w:val="00E43D55"/>
    <w:rsid w:val="00E444F9"/>
    <w:rsid w:val="00E4485B"/>
    <w:rsid w:val="00E44B84"/>
    <w:rsid w:val="00E44E4E"/>
    <w:rsid w:val="00E44E7C"/>
    <w:rsid w:val="00E450F6"/>
    <w:rsid w:val="00E4775C"/>
    <w:rsid w:val="00E47DBB"/>
    <w:rsid w:val="00E5019D"/>
    <w:rsid w:val="00E503E0"/>
    <w:rsid w:val="00E50EF8"/>
    <w:rsid w:val="00E52B03"/>
    <w:rsid w:val="00E534B5"/>
    <w:rsid w:val="00E53F15"/>
    <w:rsid w:val="00E5654D"/>
    <w:rsid w:val="00E56B95"/>
    <w:rsid w:val="00E56E1B"/>
    <w:rsid w:val="00E614A2"/>
    <w:rsid w:val="00E621AF"/>
    <w:rsid w:val="00E62A16"/>
    <w:rsid w:val="00E62A8F"/>
    <w:rsid w:val="00E637E8"/>
    <w:rsid w:val="00E63ECC"/>
    <w:rsid w:val="00E64BAA"/>
    <w:rsid w:val="00E65ACB"/>
    <w:rsid w:val="00E70AD3"/>
    <w:rsid w:val="00E7304D"/>
    <w:rsid w:val="00E738A4"/>
    <w:rsid w:val="00E73D3D"/>
    <w:rsid w:val="00E741F0"/>
    <w:rsid w:val="00E75860"/>
    <w:rsid w:val="00E75B00"/>
    <w:rsid w:val="00E7645C"/>
    <w:rsid w:val="00E764E3"/>
    <w:rsid w:val="00E76CF4"/>
    <w:rsid w:val="00E77734"/>
    <w:rsid w:val="00E8019D"/>
    <w:rsid w:val="00E809A8"/>
    <w:rsid w:val="00E81845"/>
    <w:rsid w:val="00E82891"/>
    <w:rsid w:val="00E84478"/>
    <w:rsid w:val="00E84B78"/>
    <w:rsid w:val="00E85780"/>
    <w:rsid w:val="00E8652B"/>
    <w:rsid w:val="00E86FCF"/>
    <w:rsid w:val="00E87290"/>
    <w:rsid w:val="00E8757B"/>
    <w:rsid w:val="00E87FF5"/>
    <w:rsid w:val="00E90177"/>
    <w:rsid w:val="00E902E8"/>
    <w:rsid w:val="00E90E5B"/>
    <w:rsid w:val="00E915B1"/>
    <w:rsid w:val="00E9161D"/>
    <w:rsid w:val="00E91755"/>
    <w:rsid w:val="00E92463"/>
    <w:rsid w:val="00E9305B"/>
    <w:rsid w:val="00E93227"/>
    <w:rsid w:val="00E932C5"/>
    <w:rsid w:val="00E933DB"/>
    <w:rsid w:val="00E93A5E"/>
    <w:rsid w:val="00E95FB1"/>
    <w:rsid w:val="00E960C1"/>
    <w:rsid w:val="00E96612"/>
    <w:rsid w:val="00E96E5A"/>
    <w:rsid w:val="00E97151"/>
    <w:rsid w:val="00EA1AB6"/>
    <w:rsid w:val="00EA1B40"/>
    <w:rsid w:val="00EA1B7E"/>
    <w:rsid w:val="00EA21CE"/>
    <w:rsid w:val="00EA2853"/>
    <w:rsid w:val="00EA3BB7"/>
    <w:rsid w:val="00EA4467"/>
    <w:rsid w:val="00EA5035"/>
    <w:rsid w:val="00EA630C"/>
    <w:rsid w:val="00EA64FB"/>
    <w:rsid w:val="00EA6732"/>
    <w:rsid w:val="00EB0342"/>
    <w:rsid w:val="00EB079C"/>
    <w:rsid w:val="00EB09F3"/>
    <w:rsid w:val="00EB0AB6"/>
    <w:rsid w:val="00EB2080"/>
    <w:rsid w:val="00EB3DD3"/>
    <w:rsid w:val="00EB3DE1"/>
    <w:rsid w:val="00EB4245"/>
    <w:rsid w:val="00EB4DEF"/>
    <w:rsid w:val="00EB568F"/>
    <w:rsid w:val="00EC09F9"/>
    <w:rsid w:val="00EC1D83"/>
    <w:rsid w:val="00EC1DD6"/>
    <w:rsid w:val="00EC21EA"/>
    <w:rsid w:val="00EC35A8"/>
    <w:rsid w:val="00EC3A8E"/>
    <w:rsid w:val="00EC4756"/>
    <w:rsid w:val="00EC596C"/>
    <w:rsid w:val="00EC5B07"/>
    <w:rsid w:val="00EC636A"/>
    <w:rsid w:val="00EC7630"/>
    <w:rsid w:val="00ED00A3"/>
    <w:rsid w:val="00ED01A1"/>
    <w:rsid w:val="00ED05B3"/>
    <w:rsid w:val="00ED0AF4"/>
    <w:rsid w:val="00ED2494"/>
    <w:rsid w:val="00ED24FD"/>
    <w:rsid w:val="00ED3278"/>
    <w:rsid w:val="00ED392E"/>
    <w:rsid w:val="00ED3B80"/>
    <w:rsid w:val="00ED4425"/>
    <w:rsid w:val="00ED45E6"/>
    <w:rsid w:val="00ED4D2E"/>
    <w:rsid w:val="00ED557C"/>
    <w:rsid w:val="00ED5CAE"/>
    <w:rsid w:val="00ED707D"/>
    <w:rsid w:val="00ED78DA"/>
    <w:rsid w:val="00EE14A8"/>
    <w:rsid w:val="00EE1A34"/>
    <w:rsid w:val="00EE214D"/>
    <w:rsid w:val="00EE2660"/>
    <w:rsid w:val="00EE2799"/>
    <w:rsid w:val="00EE307B"/>
    <w:rsid w:val="00EE377A"/>
    <w:rsid w:val="00EE4336"/>
    <w:rsid w:val="00EE515A"/>
    <w:rsid w:val="00EE6670"/>
    <w:rsid w:val="00EE6805"/>
    <w:rsid w:val="00EE6F88"/>
    <w:rsid w:val="00EF06B3"/>
    <w:rsid w:val="00EF0F8D"/>
    <w:rsid w:val="00EF1A65"/>
    <w:rsid w:val="00EF1D63"/>
    <w:rsid w:val="00EF2F61"/>
    <w:rsid w:val="00EF3FB6"/>
    <w:rsid w:val="00EF515E"/>
    <w:rsid w:val="00EF63E2"/>
    <w:rsid w:val="00EF6C38"/>
    <w:rsid w:val="00EF7EAC"/>
    <w:rsid w:val="00F00120"/>
    <w:rsid w:val="00F00284"/>
    <w:rsid w:val="00F00DE8"/>
    <w:rsid w:val="00F01297"/>
    <w:rsid w:val="00F0186B"/>
    <w:rsid w:val="00F030DF"/>
    <w:rsid w:val="00F03E88"/>
    <w:rsid w:val="00F04C80"/>
    <w:rsid w:val="00F050EE"/>
    <w:rsid w:val="00F05141"/>
    <w:rsid w:val="00F052B9"/>
    <w:rsid w:val="00F05374"/>
    <w:rsid w:val="00F05481"/>
    <w:rsid w:val="00F05931"/>
    <w:rsid w:val="00F06285"/>
    <w:rsid w:val="00F0646A"/>
    <w:rsid w:val="00F06ECA"/>
    <w:rsid w:val="00F07C49"/>
    <w:rsid w:val="00F10B44"/>
    <w:rsid w:val="00F10B88"/>
    <w:rsid w:val="00F10DD9"/>
    <w:rsid w:val="00F11199"/>
    <w:rsid w:val="00F11F45"/>
    <w:rsid w:val="00F123C5"/>
    <w:rsid w:val="00F12A0C"/>
    <w:rsid w:val="00F13059"/>
    <w:rsid w:val="00F1322F"/>
    <w:rsid w:val="00F13310"/>
    <w:rsid w:val="00F13CA8"/>
    <w:rsid w:val="00F13E6B"/>
    <w:rsid w:val="00F14C89"/>
    <w:rsid w:val="00F15E20"/>
    <w:rsid w:val="00F16182"/>
    <w:rsid w:val="00F17930"/>
    <w:rsid w:val="00F17B68"/>
    <w:rsid w:val="00F20125"/>
    <w:rsid w:val="00F24E0B"/>
    <w:rsid w:val="00F2528B"/>
    <w:rsid w:val="00F256A7"/>
    <w:rsid w:val="00F269D0"/>
    <w:rsid w:val="00F26BC2"/>
    <w:rsid w:val="00F27967"/>
    <w:rsid w:val="00F27AA7"/>
    <w:rsid w:val="00F27E98"/>
    <w:rsid w:val="00F30F28"/>
    <w:rsid w:val="00F31DBE"/>
    <w:rsid w:val="00F325F7"/>
    <w:rsid w:val="00F3288C"/>
    <w:rsid w:val="00F33135"/>
    <w:rsid w:val="00F3369F"/>
    <w:rsid w:val="00F34569"/>
    <w:rsid w:val="00F35379"/>
    <w:rsid w:val="00F36A30"/>
    <w:rsid w:val="00F36FE0"/>
    <w:rsid w:val="00F40A6D"/>
    <w:rsid w:val="00F41F9C"/>
    <w:rsid w:val="00F4231B"/>
    <w:rsid w:val="00F43232"/>
    <w:rsid w:val="00F448FF"/>
    <w:rsid w:val="00F45540"/>
    <w:rsid w:val="00F46A7A"/>
    <w:rsid w:val="00F4731D"/>
    <w:rsid w:val="00F47A7B"/>
    <w:rsid w:val="00F50AF1"/>
    <w:rsid w:val="00F511E4"/>
    <w:rsid w:val="00F52426"/>
    <w:rsid w:val="00F5381E"/>
    <w:rsid w:val="00F54007"/>
    <w:rsid w:val="00F54D01"/>
    <w:rsid w:val="00F5541D"/>
    <w:rsid w:val="00F55892"/>
    <w:rsid w:val="00F60A6B"/>
    <w:rsid w:val="00F60D58"/>
    <w:rsid w:val="00F61E9F"/>
    <w:rsid w:val="00F6251D"/>
    <w:rsid w:val="00F62F6E"/>
    <w:rsid w:val="00F63E18"/>
    <w:rsid w:val="00F65E3B"/>
    <w:rsid w:val="00F668CC"/>
    <w:rsid w:val="00F67C1B"/>
    <w:rsid w:val="00F70E26"/>
    <w:rsid w:val="00F711FB"/>
    <w:rsid w:val="00F715BA"/>
    <w:rsid w:val="00F71DB4"/>
    <w:rsid w:val="00F730B5"/>
    <w:rsid w:val="00F73ADB"/>
    <w:rsid w:val="00F73C10"/>
    <w:rsid w:val="00F7448F"/>
    <w:rsid w:val="00F7723E"/>
    <w:rsid w:val="00F77542"/>
    <w:rsid w:val="00F80DAD"/>
    <w:rsid w:val="00F81EC4"/>
    <w:rsid w:val="00F839F7"/>
    <w:rsid w:val="00F83A9A"/>
    <w:rsid w:val="00F841BF"/>
    <w:rsid w:val="00F84FCF"/>
    <w:rsid w:val="00F866B5"/>
    <w:rsid w:val="00F86786"/>
    <w:rsid w:val="00F9228C"/>
    <w:rsid w:val="00F92CE7"/>
    <w:rsid w:val="00F9325F"/>
    <w:rsid w:val="00F94583"/>
    <w:rsid w:val="00F95869"/>
    <w:rsid w:val="00F962F0"/>
    <w:rsid w:val="00F9713A"/>
    <w:rsid w:val="00F971EB"/>
    <w:rsid w:val="00FA0264"/>
    <w:rsid w:val="00FA2FAF"/>
    <w:rsid w:val="00FA415C"/>
    <w:rsid w:val="00FA506A"/>
    <w:rsid w:val="00FA5948"/>
    <w:rsid w:val="00FA5B60"/>
    <w:rsid w:val="00FB009A"/>
    <w:rsid w:val="00FB0805"/>
    <w:rsid w:val="00FB13DD"/>
    <w:rsid w:val="00FB428D"/>
    <w:rsid w:val="00FB5449"/>
    <w:rsid w:val="00FB585B"/>
    <w:rsid w:val="00FB58EB"/>
    <w:rsid w:val="00FB5B98"/>
    <w:rsid w:val="00FB6388"/>
    <w:rsid w:val="00FB645D"/>
    <w:rsid w:val="00FB6684"/>
    <w:rsid w:val="00FC01C5"/>
    <w:rsid w:val="00FC086E"/>
    <w:rsid w:val="00FC0B30"/>
    <w:rsid w:val="00FC1334"/>
    <w:rsid w:val="00FC13EB"/>
    <w:rsid w:val="00FC2574"/>
    <w:rsid w:val="00FC34CA"/>
    <w:rsid w:val="00FC52BA"/>
    <w:rsid w:val="00FC6073"/>
    <w:rsid w:val="00FC637B"/>
    <w:rsid w:val="00FC6714"/>
    <w:rsid w:val="00FC6F3F"/>
    <w:rsid w:val="00FC7ADD"/>
    <w:rsid w:val="00FD04FF"/>
    <w:rsid w:val="00FD073A"/>
    <w:rsid w:val="00FD1493"/>
    <w:rsid w:val="00FD354C"/>
    <w:rsid w:val="00FD3A8B"/>
    <w:rsid w:val="00FD5400"/>
    <w:rsid w:val="00FD67DB"/>
    <w:rsid w:val="00FD6E7D"/>
    <w:rsid w:val="00FD7494"/>
    <w:rsid w:val="00FD7924"/>
    <w:rsid w:val="00FD7C4F"/>
    <w:rsid w:val="00FE0877"/>
    <w:rsid w:val="00FE2D9A"/>
    <w:rsid w:val="00FE405A"/>
    <w:rsid w:val="00FE41AF"/>
    <w:rsid w:val="00FE4555"/>
    <w:rsid w:val="00FE53D6"/>
    <w:rsid w:val="00FE58D8"/>
    <w:rsid w:val="00FE5E88"/>
    <w:rsid w:val="00FE616C"/>
    <w:rsid w:val="00FE61E5"/>
    <w:rsid w:val="00FE6778"/>
    <w:rsid w:val="00FE690F"/>
    <w:rsid w:val="00FE6F6B"/>
    <w:rsid w:val="00FF026B"/>
    <w:rsid w:val="00FF2DF0"/>
    <w:rsid w:val="00FF47E3"/>
    <w:rsid w:val="00FF5A11"/>
    <w:rsid w:val="00FF650F"/>
    <w:rsid w:val="00FF691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List" w:uiPriority="99"/>
    <w:lsdException w:name="List Bullet" w:uiPriority="99"/>
    <w:lsdException w:name="List Number" w:uiPriority="99"/>
    <w:lsdException w:name="List 2" w:uiPriority="99"/>
    <w:lsdException w:name="List Number 2" w:uiPriority="99"/>
    <w:lsdException w:name="Title" w:qFormat="1"/>
    <w:lsdException w:name="Default Paragraph Font" w:uiPriority="1"/>
    <w:lsdException w:name="Body Text" w:uiPriority="99"/>
    <w:lsdException w:name="Body Text Indent" w:uiPriority="99"/>
    <w:lsdException w:name="Subtitle" w:qFormat="1"/>
    <w:lsdException w:name="Body Text First Indent 2" w:uiPriority="99"/>
    <w:lsdException w:name="Hyperlink" w:uiPriority="99"/>
    <w:lsdException w:name="Strong"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Outline List 2" w:uiPriority="99"/>
    <w:lsdException w:name="Table Contemporary" w:uiPriority="99"/>
    <w:lsdException w:name="Balloon Text" w:uiPriority="99"/>
    <w:lsdException w:name="Table Gri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74199B"/>
    <w:rPr>
      <w:rFonts w:ascii="Arial" w:hAnsi="Arial" w:cs="Arial"/>
      <w:sz w:val="24"/>
      <w:szCs w:val="24"/>
      <w:lang w:eastAsia="en-US"/>
    </w:rPr>
  </w:style>
  <w:style w:type="paragraph" w:styleId="Heading1">
    <w:name w:val="heading 1"/>
    <w:basedOn w:val="Normal"/>
    <w:next w:val="Normal"/>
    <w:link w:val="Heading1Char"/>
    <w:uiPriority w:val="99"/>
    <w:qFormat/>
    <w:rsid w:val="008F6CB6"/>
    <w:pPr>
      <w:suppressAutoHyphens/>
      <w:outlineLvl w:val="0"/>
    </w:pPr>
    <w:rPr>
      <w:b/>
      <w:bCs/>
      <w:lang w:val="en-US"/>
    </w:rPr>
  </w:style>
  <w:style w:type="paragraph" w:styleId="Heading2">
    <w:name w:val="heading 2"/>
    <w:basedOn w:val="Normal"/>
    <w:next w:val="Normal"/>
    <w:link w:val="Heading2Char"/>
    <w:uiPriority w:val="99"/>
    <w:qFormat/>
    <w:rsid w:val="008F6CB6"/>
    <w:pPr>
      <w:tabs>
        <w:tab w:val="num" w:pos="360"/>
      </w:tabs>
      <w:suppressAutoHyphens/>
      <w:ind w:left="360" w:hanging="360"/>
      <w:outlineLvl w:val="1"/>
    </w:pPr>
    <w:rPr>
      <w:lang w:val="en-US"/>
    </w:rPr>
  </w:style>
  <w:style w:type="paragraph" w:styleId="Heading3">
    <w:name w:val="heading 3"/>
    <w:basedOn w:val="Normal"/>
    <w:next w:val="Normal"/>
    <w:link w:val="Heading3Char"/>
    <w:uiPriority w:val="99"/>
    <w:qFormat/>
    <w:rsid w:val="008F6CB6"/>
    <w:pPr>
      <w:keepNext/>
      <w:widowControl w:val="0"/>
      <w:tabs>
        <w:tab w:val="num" w:pos="2280"/>
      </w:tabs>
      <w:spacing w:after="260" w:line="260" w:lineRule="atLeast"/>
      <w:ind w:left="2280" w:hanging="720"/>
      <w:jc w:val="both"/>
      <w:outlineLvl w:val="2"/>
    </w:pPr>
    <w:rPr>
      <w:b/>
      <w:bCs/>
      <w:sz w:val="22"/>
      <w:szCs w:val="22"/>
    </w:rPr>
  </w:style>
  <w:style w:type="paragraph" w:styleId="Heading4">
    <w:name w:val="heading 4"/>
    <w:basedOn w:val="Normal"/>
    <w:next w:val="Normal"/>
    <w:link w:val="Heading4Char"/>
    <w:uiPriority w:val="99"/>
    <w:qFormat/>
    <w:rsid w:val="008F6CB6"/>
    <w:pPr>
      <w:keepNext/>
      <w:widowControl w:val="0"/>
      <w:tabs>
        <w:tab w:val="num" w:pos="2880"/>
      </w:tabs>
      <w:spacing w:after="260" w:line="260" w:lineRule="atLeast"/>
      <w:ind w:left="2880" w:hanging="720"/>
      <w:jc w:val="both"/>
      <w:outlineLvl w:val="3"/>
    </w:pPr>
    <w:rPr>
      <w:b/>
      <w:bCs/>
      <w:sz w:val="22"/>
      <w:szCs w:val="22"/>
    </w:rPr>
  </w:style>
  <w:style w:type="paragraph" w:styleId="Heading5">
    <w:name w:val="heading 5"/>
    <w:basedOn w:val="Normal"/>
    <w:next w:val="Normal"/>
    <w:link w:val="Heading5Char"/>
    <w:uiPriority w:val="99"/>
    <w:qFormat/>
    <w:rsid w:val="008F6CB6"/>
    <w:pPr>
      <w:keepNext/>
      <w:widowControl w:val="0"/>
      <w:tabs>
        <w:tab w:val="num" w:pos="3240"/>
      </w:tabs>
      <w:spacing w:after="260" w:line="260" w:lineRule="atLeast"/>
      <w:ind w:left="2952" w:hanging="792"/>
      <w:jc w:val="both"/>
      <w:outlineLvl w:val="4"/>
    </w:pPr>
    <w:rPr>
      <w:b/>
      <w:bCs/>
      <w:sz w:val="22"/>
      <w:szCs w:val="22"/>
    </w:rPr>
  </w:style>
  <w:style w:type="paragraph" w:styleId="Heading6">
    <w:name w:val="heading 6"/>
    <w:basedOn w:val="Normal"/>
    <w:next w:val="Normal"/>
    <w:link w:val="Heading6Char"/>
    <w:uiPriority w:val="99"/>
    <w:qFormat/>
    <w:rsid w:val="008F6CB6"/>
    <w:pPr>
      <w:keepNext/>
      <w:widowControl w:val="0"/>
      <w:tabs>
        <w:tab w:val="left" w:pos="3119"/>
        <w:tab w:val="num" w:pos="3960"/>
      </w:tabs>
      <w:spacing w:after="260" w:line="260" w:lineRule="atLeast"/>
      <w:ind w:left="3456" w:hanging="936"/>
      <w:jc w:val="both"/>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9A9"/>
    <w:rPr>
      <w:rFonts w:ascii="Arial" w:eastAsia="SimSun" w:hAnsi="Arial" w:cs="Arial"/>
      <w:b/>
      <w:bCs/>
      <w:sz w:val="24"/>
      <w:szCs w:val="24"/>
      <w:lang w:val="en-US" w:eastAsia="en-US" w:bidi="ar-SA"/>
    </w:rPr>
  </w:style>
  <w:style w:type="character" w:customStyle="1" w:styleId="Heading2Char">
    <w:name w:val="Heading 2 Char"/>
    <w:basedOn w:val="DefaultParagraphFont"/>
    <w:link w:val="Heading2"/>
    <w:uiPriority w:val="99"/>
    <w:locked/>
    <w:rsid w:val="001D20DA"/>
    <w:rPr>
      <w:rFonts w:ascii="Arial" w:hAnsi="Arial" w:cs="Arial"/>
      <w:sz w:val="24"/>
      <w:szCs w:val="24"/>
    </w:rPr>
  </w:style>
  <w:style w:type="character" w:customStyle="1" w:styleId="Heading3Char">
    <w:name w:val="Heading 3 Char"/>
    <w:basedOn w:val="DefaultParagraphFont"/>
    <w:link w:val="Heading3"/>
    <w:uiPriority w:val="99"/>
    <w:locked/>
    <w:rsid w:val="00D770EE"/>
    <w:rPr>
      <w:rFonts w:ascii="Arial" w:hAnsi="Arial" w:cs="Arial"/>
      <w:b/>
      <w:bCs/>
      <w:lang w:val="en-GB"/>
    </w:rPr>
  </w:style>
  <w:style w:type="character" w:customStyle="1" w:styleId="Heading4Char">
    <w:name w:val="Heading 4 Char"/>
    <w:basedOn w:val="DefaultParagraphFont"/>
    <w:link w:val="Heading4"/>
    <w:uiPriority w:val="99"/>
    <w:locked/>
    <w:rsid w:val="001D20DA"/>
    <w:rPr>
      <w:rFonts w:ascii="Arial" w:hAnsi="Arial" w:cs="Arial"/>
      <w:b/>
      <w:bCs/>
      <w:lang w:val="en-GB"/>
    </w:rPr>
  </w:style>
  <w:style w:type="character" w:customStyle="1" w:styleId="Heading5Char">
    <w:name w:val="Heading 5 Char"/>
    <w:basedOn w:val="DefaultParagraphFont"/>
    <w:link w:val="Heading5"/>
    <w:uiPriority w:val="99"/>
    <w:locked/>
    <w:rsid w:val="001D20DA"/>
    <w:rPr>
      <w:rFonts w:ascii="Arial" w:hAnsi="Arial" w:cs="Arial"/>
      <w:b/>
      <w:bCs/>
      <w:lang w:val="en-GB"/>
    </w:rPr>
  </w:style>
  <w:style w:type="character" w:customStyle="1" w:styleId="Heading6Char">
    <w:name w:val="Heading 6 Char"/>
    <w:basedOn w:val="DefaultParagraphFont"/>
    <w:link w:val="Heading6"/>
    <w:uiPriority w:val="99"/>
    <w:locked/>
    <w:rsid w:val="001D20DA"/>
    <w:rPr>
      <w:rFonts w:ascii="Arial" w:hAnsi="Arial" w:cs="Arial"/>
      <w:b/>
      <w:bCs/>
      <w:lang w:val="en-GB"/>
    </w:rPr>
  </w:style>
  <w:style w:type="paragraph" w:styleId="Header">
    <w:name w:val="header"/>
    <w:basedOn w:val="Normal"/>
    <w:link w:val="HeaderChar"/>
    <w:uiPriority w:val="99"/>
    <w:rsid w:val="00562870"/>
    <w:pPr>
      <w:tabs>
        <w:tab w:val="center" w:pos="4320"/>
        <w:tab w:val="right" w:pos="8640"/>
      </w:tabs>
    </w:pPr>
  </w:style>
  <w:style w:type="character" w:customStyle="1" w:styleId="HeaderChar">
    <w:name w:val="Header Char"/>
    <w:basedOn w:val="DefaultParagraphFont"/>
    <w:link w:val="Header"/>
    <w:uiPriority w:val="99"/>
    <w:semiHidden/>
    <w:locked/>
    <w:rsid w:val="001D20DA"/>
    <w:rPr>
      <w:rFonts w:ascii="Arial" w:hAnsi="Arial" w:cs="Arial"/>
      <w:sz w:val="24"/>
      <w:szCs w:val="24"/>
      <w:lang w:eastAsia="en-US"/>
    </w:rPr>
  </w:style>
  <w:style w:type="paragraph" w:styleId="PlainText">
    <w:name w:val="Plain Text"/>
    <w:basedOn w:val="Normal"/>
    <w:link w:val="PlainTextChar"/>
    <w:uiPriority w:val="99"/>
    <w:rsid w:val="00562870"/>
    <w:rPr>
      <w:rFonts w:ascii="Courier New" w:hAnsi="Courier New" w:cs="Courier New"/>
      <w:sz w:val="20"/>
      <w:szCs w:val="20"/>
      <w:lang w:val="en-US"/>
    </w:rPr>
  </w:style>
  <w:style w:type="character" w:customStyle="1" w:styleId="PlainTextChar">
    <w:name w:val="Plain Text Char"/>
    <w:basedOn w:val="DefaultParagraphFont"/>
    <w:link w:val="PlainText"/>
    <w:uiPriority w:val="99"/>
    <w:semiHidden/>
    <w:locked/>
    <w:rsid w:val="001D20DA"/>
    <w:rPr>
      <w:rFonts w:ascii="Courier New" w:hAnsi="Courier New" w:cs="Courier New"/>
      <w:sz w:val="20"/>
      <w:szCs w:val="20"/>
      <w:lang w:eastAsia="en-US"/>
    </w:rPr>
  </w:style>
  <w:style w:type="paragraph" w:styleId="Footer">
    <w:name w:val="footer"/>
    <w:basedOn w:val="Normal"/>
    <w:link w:val="FooterChar"/>
    <w:uiPriority w:val="99"/>
    <w:rsid w:val="00562870"/>
    <w:pPr>
      <w:tabs>
        <w:tab w:val="center" w:pos="4320"/>
        <w:tab w:val="right" w:pos="8640"/>
      </w:tabs>
    </w:pPr>
  </w:style>
  <w:style w:type="character" w:customStyle="1" w:styleId="FooterChar">
    <w:name w:val="Footer Char"/>
    <w:basedOn w:val="DefaultParagraphFont"/>
    <w:link w:val="Footer"/>
    <w:uiPriority w:val="99"/>
    <w:semiHidden/>
    <w:locked/>
    <w:rsid w:val="001D20DA"/>
    <w:rPr>
      <w:rFonts w:ascii="Arial" w:hAnsi="Arial" w:cs="Arial"/>
      <w:sz w:val="24"/>
      <w:szCs w:val="24"/>
      <w:lang w:eastAsia="en-US"/>
    </w:rPr>
  </w:style>
  <w:style w:type="paragraph" w:styleId="TOC1">
    <w:name w:val="toc 1"/>
    <w:basedOn w:val="Normal"/>
    <w:next w:val="Normal"/>
    <w:uiPriority w:val="39"/>
    <w:qFormat/>
    <w:rsid w:val="003A5E3E"/>
    <w:pPr>
      <w:tabs>
        <w:tab w:val="left" w:pos="720"/>
        <w:tab w:val="right" w:leader="dot" w:pos="9158"/>
      </w:tabs>
      <w:spacing w:before="120" w:after="120"/>
      <w:ind w:left="720" w:hanging="720"/>
    </w:pPr>
    <w:rPr>
      <w:b/>
      <w:bCs/>
      <w:noProof/>
      <w:szCs w:val="20"/>
    </w:rPr>
  </w:style>
  <w:style w:type="character" w:styleId="Hyperlink">
    <w:name w:val="Hyperlink"/>
    <w:basedOn w:val="DefaultParagraphFont"/>
    <w:uiPriority w:val="99"/>
    <w:rsid w:val="00562870"/>
    <w:rPr>
      <w:rFonts w:cs="Times New Roman"/>
      <w:color w:val="0000FF"/>
      <w:u w:val="single"/>
    </w:rPr>
  </w:style>
  <w:style w:type="paragraph" w:customStyle="1" w:styleId="heading10">
    <w:name w:val="heading1"/>
    <w:basedOn w:val="BodyTextIndent"/>
    <w:uiPriority w:val="99"/>
    <w:rsid w:val="00562870"/>
    <w:pPr>
      <w:spacing w:after="0"/>
      <w:ind w:left="0"/>
      <w:jc w:val="both"/>
    </w:pPr>
    <w:rPr>
      <w:lang w:val="en-US"/>
    </w:rPr>
  </w:style>
  <w:style w:type="paragraph" w:styleId="BodyTextIndent">
    <w:name w:val="Body Text Indent"/>
    <w:basedOn w:val="Normal"/>
    <w:link w:val="BodyTextIndentChar"/>
    <w:uiPriority w:val="99"/>
    <w:rsid w:val="00562870"/>
    <w:pPr>
      <w:spacing w:after="120"/>
      <w:ind w:left="283"/>
    </w:pPr>
  </w:style>
  <w:style w:type="character" w:customStyle="1" w:styleId="BodyTextIndentChar">
    <w:name w:val="Body Text Indent Char"/>
    <w:basedOn w:val="DefaultParagraphFont"/>
    <w:link w:val="BodyTextIndent"/>
    <w:uiPriority w:val="99"/>
    <w:semiHidden/>
    <w:locked/>
    <w:rsid w:val="001D20DA"/>
    <w:rPr>
      <w:rFonts w:ascii="Arial" w:hAnsi="Arial" w:cs="Arial"/>
      <w:sz w:val="24"/>
      <w:szCs w:val="24"/>
      <w:lang w:eastAsia="en-US"/>
    </w:rPr>
  </w:style>
  <w:style w:type="character" w:styleId="PageNumber">
    <w:name w:val="page number"/>
    <w:basedOn w:val="DefaultParagraphFont"/>
    <w:uiPriority w:val="99"/>
    <w:rsid w:val="00176E1D"/>
    <w:rPr>
      <w:rFonts w:cs="Times New Roman"/>
    </w:rPr>
  </w:style>
  <w:style w:type="paragraph" w:styleId="BalloonText">
    <w:name w:val="Balloon Text"/>
    <w:basedOn w:val="Normal"/>
    <w:link w:val="BalloonTextChar"/>
    <w:uiPriority w:val="99"/>
    <w:semiHidden/>
    <w:rsid w:val="00176E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0DA"/>
    <w:rPr>
      <w:rFonts w:cs="Arial"/>
      <w:sz w:val="2"/>
      <w:lang w:eastAsia="en-US"/>
    </w:rPr>
  </w:style>
  <w:style w:type="paragraph" w:customStyle="1" w:styleId="ssPara1">
    <w:name w:val="ssPara1"/>
    <w:basedOn w:val="Normal"/>
    <w:uiPriority w:val="99"/>
    <w:rsid w:val="00AB5F57"/>
    <w:pPr>
      <w:spacing w:after="260" w:line="260" w:lineRule="atLeast"/>
      <w:jc w:val="both"/>
    </w:pPr>
    <w:rPr>
      <w:sz w:val="22"/>
      <w:szCs w:val="22"/>
      <w:lang w:eastAsia="en-GB"/>
    </w:rPr>
  </w:style>
  <w:style w:type="paragraph" w:customStyle="1" w:styleId="ssRestartNumber">
    <w:name w:val="ssRestartNumber"/>
    <w:basedOn w:val="Normal"/>
    <w:next w:val="ssPara1"/>
    <w:uiPriority w:val="99"/>
    <w:rsid w:val="004B57AC"/>
    <w:pPr>
      <w:tabs>
        <w:tab w:val="num" w:pos="360"/>
      </w:tabs>
      <w:spacing w:line="260" w:lineRule="atLeast"/>
      <w:ind w:left="360" w:hanging="360"/>
      <w:jc w:val="both"/>
    </w:pPr>
    <w:rPr>
      <w:color w:val="FF0000"/>
      <w:sz w:val="22"/>
      <w:szCs w:val="22"/>
    </w:rPr>
  </w:style>
  <w:style w:type="paragraph" w:customStyle="1" w:styleId="ssNoHeading1">
    <w:name w:val="ssNoHeading1"/>
    <w:basedOn w:val="Heading1"/>
    <w:uiPriority w:val="99"/>
    <w:rsid w:val="004B57AC"/>
    <w:pPr>
      <w:numPr>
        <w:ilvl w:val="1"/>
      </w:numPr>
      <w:tabs>
        <w:tab w:val="num" w:pos="709"/>
      </w:tabs>
      <w:spacing w:after="260" w:line="260" w:lineRule="atLeast"/>
      <w:ind w:left="709" w:hanging="709"/>
      <w:jc w:val="both"/>
    </w:pPr>
    <w:rPr>
      <w:b w:val="0"/>
      <w:bCs w:val="0"/>
      <w:sz w:val="22"/>
      <w:szCs w:val="22"/>
      <w:lang w:val="en-GB"/>
    </w:rPr>
  </w:style>
  <w:style w:type="paragraph" w:styleId="Index1">
    <w:name w:val="index 1"/>
    <w:basedOn w:val="Normal"/>
    <w:next w:val="Normal"/>
    <w:autoRedefine/>
    <w:uiPriority w:val="99"/>
    <w:semiHidden/>
    <w:rsid w:val="006B34F8"/>
    <w:pPr>
      <w:ind w:left="240" w:hanging="240"/>
    </w:pPr>
    <w:rPr>
      <w:sz w:val="18"/>
      <w:szCs w:val="18"/>
    </w:rPr>
  </w:style>
  <w:style w:type="paragraph" w:styleId="Index2">
    <w:name w:val="index 2"/>
    <w:basedOn w:val="Normal"/>
    <w:next w:val="Normal"/>
    <w:autoRedefine/>
    <w:uiPriority w:val="99"/>
    <w:semiHidden/>
    <w:rsid w:val="006B34F8"/>
    <w:pPr>
      <w:ind w:left="480" w:hanging="240"/>
    </w:pPr>
    <w:rPr>
      <w:sz w:val="18"/>
      <w:szCs w:val="18"/>
    </w:rPr>
  </w:style>
  <w:style w:type="paragraph" w:styleId="Index3">
    <w:name w:val="index 3"/>
    <w:basedOn w:val="Normal"/>
    <w:next w:val="Normal"/>
    <w:autoRedefine/>
    <w:uiPriority w:val="99"/>
    <w:semiHidden/>
    <w:rsid w:val="006B34F8"/>
    <w:pPr>
      <w:ind w:left="720" w:hanging="240"/>
    </w:pPr>
    <w:rPr>
      <w:sz w:val="18"/>
      <w:szCs w:val="18"/>
    </w:rPr>
  </w:style>
  <w:style w:type="paragraph" w:styleId="Index4">
    <w:name w:val="index 4"/>
    <w:basedOn w:val="Normal"/>
    <w:next w:val="Normal"/>
    <w:autoRedefine/>
    <w:uiPriority w:val="99"/>
    <w:semiHidden/>
    <w:rsid w:val="006B34F8"/>
    <w:pPr>
      <w:ind w:left="960" w:hanging="240"/>
    </w:pPr>
    <w:rPr>
      <w:sz w:val="18"/>
      <w:szCs w:val="18"/>
    </w:rPr>
  </w:style>
  <w:style w:type="paragraph" w:styleId="Index5">
    <w:name w:val="index 5"/>
    <w:basedOn w:val="Normal"/>
    <w:next w:val="Normal"/>
    <w:autoRedefine/>
    <w:uiPriority w:val="99"/>
    <w:semiHidden/>
    <w:rsid w:val="006B34F8"/>
    <w:pPr>
      <w:ind w:left="1200" w:hanging="240"/>
    </w:pPr>
    <w:rPr>
      <w:sz w:val="18"/>
      <w:szCs w:val="18"/>
    </w:rPr>
  </w:style>
  <w:style w:type="paragraph" w:styleId="Index6">
    <w:name w:val="index 6"/>
    <w:basedOn w:val="Normal"/>
    <w:next w:val="Normal"/>
    <w:autoRedefine/>
    <w:uiPriority w:val="99"/>
    <w:semiHidden/>
    <w:rsid w:val="006B34F8"/>
    <w:pPr>
      <w:ind w:left="1440" w:hanging="240"/>
    </w:pPr>
    <w:rPr>
      <w:sz w:val="18"/>
      <w:szCs w:val="18"/>
    </w:rPr>
  </w:style>
  <w:style w:type="paragraph" w:styleId="Index7">
    <w:name w:val="index 7"/>
    <w:basedOn w:val="Normal"/>
    <w:next w:val="Normal"/>
    <w:autoRedefine/>
    <w:uiPriority w:val="99"/>
    <w:semiHidden/>
    <w:rsid w:val="006B34F8"/>
    <w:pPr>
      <w:ind w:left="1680" w:hanging="240"/>
    </w:pPr>
    <w:rPr>
      <w:sz w:val="18"/>
      <w:szCs w:val="18"/>
    </w:rPr>
  </w:style>
  <w:style w:type="paragraph" w:styleId="Index8">
    <w:name w:val="index 8"/>
    <w:basedOn w:val="Normal"/>
    <w:next w:val="Normal"/>
    <w:autoRedefine/>
    <w:uiPriority w:val="99"/>
    <w:semiHidden/>
    <w:rsid w:val="006B34F8"/>
    <w:pPr>
      <w:ind w:left="1920" w:hanging="240"/>
    </w:pPr>
    <w:rPr>
      <w:sz w:val="18"/>
      <w:szCs w:val="18"/>
    </w:rPr>
  </w:style>
  <w:style w:type="paragraph" w:styleId="Index9">
    <w:name w:val="index 9"/>
    <w:basedOn w:val="Normal"/>
    <w:next w:val="Normal"/>
    <w:autoRedefine/>
    <w:uiPriority w:val="99"/>
    <w:semiHidden/>
    <w:rsid w:val="006B34F8"/>
    <w:pPr>
      <w:ind w:left="2160" w:hanging="240"/>
    </w:pPr>
    <w:rPr>
      <w:sz w:val="18"/>
      <w:szCs w:val="18"/>
    </w:rPr>
  </w:style>
  <w:style w:type="paragraph" w:styleId="IndexHeading">
    <w:name w:val="index heading"/>
    <w:basedOn w:val="Normal"/>
    <w:next w:val="Index1"/>
    <w:uiPriority w:val="99"/>
    <w:semiHidden/>
    <w:rsid w:val="006B34F8"/>
    <w:pPr>
      <w:spacing w:before="240" w:after="120"/>
      <w:jc w:val="center"/>
    </w:pPr>
    <w:rPr>
      <w:b/>
      <w:bCs/>
      <w:sz w:val="26"/>
      <w:szCs w:val="26"/>
    </w:rPr>
  </w:style>
  <w:style w:type="paragraph" w:customStyle="1" w:styleId="Style1">
    <w:name w:val="Style1"/>
    <w:basedOn w:val="Index1"/>
    <w:next w:val="Normal"/>
    <w:uiPriority w:val="99"/>
    <w:rsid w:val="006B34F8"/>
    <w:rPr>
      <w:sz w:val="24"/>
      <w:szCs w:val="24"/>
    </w:rPr>
  </w:style>
  <w:style w:type="paragraph" w:customStyle="1" w:styleId="Header1">
    <w:name w:val="Header 1."/>
    <w:basedOn w:val="Heading1"/>
    <w:next w:val="ListNumber"/>
    <w:link w:val="Header1Char"/>
    <w:uiPriority w:val="99"/>
    <w:rsid w:val="006B34F8"/>
  </w:style>
  <w:style w:type="paragraph" w:styleId="ListNumber">
    <w:name w:val="List Number"/>
    <w:basedOn w:val="Header1"/>
    <w:uiPriority w:val="99"/>
    <w:rsid w:val="005711F7"/>
    <w:rPr>
      <w:b w:val="0"/>
    </w:rPr>
  </w:style>
  <w:style w:type="paragraph" w:styleId="BodyText">
    <w:name w:val="Body Text"/>
    <w:basedOn w:val="Normal"/>
    <w:link w:val="BodyTextChar"/>
    <w:uiPriority w:val="99"/>
    <w:rsid w:val="001C155C"/>
    <w:pPr>
      <w:spacing w:after="120"/>
    </w:pPr>
  </w:style>
  <w:style w:type="character" w:customStyle="1" w:styleId="BodyTextChar">
    <w:name w:val="Body Text Char"/>
    <w:basedOn w:val="DefaultParagraphFont"/>
    <w:link w:val="BodyText"/>
    <w:uiPriority w:val="99"/>
    <w:semiHidden/>
    <w:locked/>
    <w:rsid w:val="001D20DA"/>
    <w:rPr>
      <w:rFonts w:ascii="Arial" w:hAnsi="Arial" w:cs="Arial"/>
      <w:sz w:val="24"/>
      <w:szCs w:val="24"/>
      <w:lang w:eastAsia="en-US"/>
    </w:rPr>
  </w:style>
  <w:style w:type="paragraph" w:styleId="BodyTextFirstIndent2">
    <w:name w:val="Body Text First Indent 2"/>
    <w:basedOn w:val="BodyTextIndent"/>
    <w:link w:val="BodyTextFirstIndent2Char"/>
    <w:uiPriority w:val="99"/>
    <w:rsid w:val="00C01E9D"/>
    <w:pPr>
      <w:ind w:left="360" w:firstLine="210"/>
    </w:pPr>
  </w:style>
  <w:style w:type="character" w:customStyle="1" w:styleId="BodyTextFirstIndent2Char">
    <w:name w:val="Body Text First Indent 2 Char"/>
    <w:basedOn w:val="BodyTextIndentChar"/>
    <w:link w:val="BodyTextFirstIndent2"/>
    <w:uiPriority w:val="99"/>
    <w:semiHidden/>
    <w:locked/>
    <w:rsid w:val="001D20DA"/>
  </w:style>
  <w:style w:type="character" w:styleId="LineNumber">
    <w:name w:val="line number"/>
    <w:basedOn w:val="DefaultParagraphFont"/>
    <w:uiPriority w:val="99"/>
    <w:rsid w:val="00C01E9D"/>
    <w:rPr>
      <w:rFonts w:cs="Times New Roman"/>
    </w:rPr>
  </w:style>
  <w:style w:type="paragraph" w:styleId="ListNumber2">
    <w:name w:val="List Number 2"/>
    <w:basedOn w:val="Normal"/>
    <w:uiPriority w:val="99"/>
    <w:rsid w:val="00C01E9D"/>
  </w:style>
  <w:style w:type="paragraph" w:styleId="List">
    <w:name w:val="List"/>
    <w:basedOn w:val="Normal"/>
    <w:uiPriority w:val="99"/>
    <w:rsid w:val="00581653"/>
    <w:pPr>
      <w:ind w:left="360" w:hanging="360"/>
    </w:pPr>
  </w:style>
  <w:style w:type="paragraph" w:styleId="List2">
    <w:name w:val="List 2"/>
    <w:basedOn w:val="Normal"/>
    <w:uiPriority w:val="99"/>
    <w:rsid w:val="00581653"/>
    <w:pPr>
      <w:ind w:left="720" w:hanging="360"/>
    </w:pPr>
  </w:style>
  <w:style w:type="paragraph" w:styleId="TOC2">
    <w:name w:val="toc 2"/>
    <w:basedOn w:val="Normal"/>
    <w:next w:val="Normal"/>
    <w:uiPriority w:val="39"/>
    <w:qFormat/>
    <w:rsid w:val="001A6709"/>
    <w:pPr>
      <w:tabs>
        <w:tab w:val="left" w:pos="1440"/>
        <w:tab w:val="right" w:leader="dot" w:pos="9163"/>
      </w:tabs>
      <w:spacing w:before="120"/>
      <w:ind w:left="720"/>
    </w:pPr>
    <w:rPr>
      <w:rFonts w:ascii="Arial Bold" w:hAnsi="Arial Bold"/>
      <w:b/>
      <w:iCs/>
      <w:szCs w:val="20"/>
    </w:rPr>
  </w:style>
  <w:style w:type="paragraph" w:styleId="TOC3">
    <w:name w:val="toc 3"/>
    <w:basedOn w:val="Normal"/>
    <w:next w:val="Normal"/>
    <w:autoRedefine/>
    <w:uiPriority w:val="39"/>
    <w:qFormat/>
    <w:rsid w:val="00914E19"/>
    <w:pPr>
      <w:ind w:left="480"/>
    </w:pPr>
    <w:rPr>
      <w:sz w:val="20"/>
      <w:szCs w:val="20"/>
    </w:rPr>
  </w:style>
  <w:style w:type="paragraph" w:styleId="TOC4">
    <w:name w:val="toc 4"/>
    <w:basedOn w:val="Normal"/>
    <w:next w:val="Normal"/>
    <w:autoRedefine/>
    <w:uiPriority w:val="39"/>
    <w:rsid w:val="00914E19"/>
    <w:pPr>
      <w:ind w:left="720"/>
    </w:pPr>
    <w:rPr>
      <w:sz w:val="20"/>
      <w:szCs w:val="20"/>
    </w:rPr>
  </w:style>
  <w:style w:type="paragraph" w:styleId="TOC5">
    <w:name w:val="toc 5"/>
    <w:basedOn w:val="Normal"/>
    <w:next w:val="Normal"/>
    <w:autoRedefine/>
    <w:uiPriority w:val="39"/>
    <w:rsid w:val="00914E19"/>
    <w:pPr>
      <w:ind w:left="960"/>
    </w:pPr>
    <w:rPr>
      <w:sz w:val="20"/>
      <w:szCs w:val="20"/>
    </w:rPr>
  </w:style>
  <w:style w:type="paragraph" w:styleId="TOC6">
    <w:name w:val="toc 6"/>
    <w:basedOn w:val="Normal"/>
    <w:next w:val="Normal"/>
    <w:autoRedefine/>
    <w:uiPriority w:val="39"/>
    <w:rsid w:val="00914E19"/>
    <w:pPr>
      <w:ind w:left="1200"/>
    </w:pPr>
    <w:rPr>
      <w:sz w:val="20"/>
      <w:szCs w:val="20"/>
    </w:rPr>
  </w:style>
  <w:style w:type="paragraph" w:styleId="TOC7">
    <w:name w:val="toc 7"/>
    <w:basedOn w:val="Normal"/>
    <w:next w:val="Normal"/>
    <w:autoRedefine/>
    <w:uiPriority w:val="39"/>
    <w:rsid w:val="00914E19"/>
    <w:pPr>
      <w:ind w:left="1440"/>
    </w:pPr>
    <w:rPr>
      <w:sz w:val="20"/>
      <w:szCs w:val="20"/>
    </w:rPr>
  </w:style>
  <w:style w:type="paragraph" w:styleId="TOC8">
    <w:name w:val="toc 8"/>
    <w:basedOn w:val="Normal"/>
    <w:next w:val="Normal"/>
    <w:autoRedefine/>
    <w:uiPriority w:val="39"/>
    <w:rsid w:val="00914E19"/>
    <w:pPr>
      <w:ind w:left="1680"/>
    </w:pPr>
    <w:rPr>
      <w:sz w:val="20"/>
      <w:szCs w:val="20"/>
    </w:rPr>
  </w:style>
  <w:style w:type="paragraph" w:styleId="TOC9">
    <w:name w:val="toc 9"/>
    <w:basedOn w:val="Normal"/>
    <w:next w:val="Normal"/>
    <w:autoRedefine/>
    <w:uiPriority w:val="39"/>
    <w:rsid w:val="00914E19"/>
    <w:pPr>
      <w:ind w:left="1920"/>
    </w:pPr>
    <w:rPr>
      <w:sz w:val="20"/>
      <w:szCs w:val="20"/>
    </w:rPr>
  </w:style>
  <w:style w:type="paragraph" w:styleId="NormalWeb">
    <w:name w:val="Normal (Web)"/>
    <w:basedOn w:val="Normal"/>
    <w:uiPriority w:val="99"/>
    <w:rsid w:val="00FE6F6B"/>
    <w:pPr>
      <w:spacing w:after="100" w:afterAutospacing="1"/>
    </w:pPr>
    <w:rPr>
      <w:rFonts w:ascii="Verdana" w:hAnsi="Verdana"/>
      <w:lang w:val="en-US"/>
    </w:rPr>
  </w:style>
  <w:style w:type="character" w:styleId="CommentReference">
    <w:name w:val="annotation reference"/>
    <w:basedOn w:val="DefaultParagraphFont"/>
    <w:uiPriority w:val="99"/>
    <w:semiHidden/>
    <w:rsid w:val="000C3411"/>
    <w:rPr>
      <w:rFonts w:cs="Times New Roman"/>
      <w:sz w:val="16"/>
      <w:szCs w:val="16"/>
    </w:rPr>
  </w:style>
  <w:style w:type="paragraph" w:styleId="CommentText">
    <w:name w:val="annotation text"/>
    <w:basedOn w:val="Normal"/>
    <w:link w:val="CommentTextChar"/>
    <w:uiPriority w:val="99"/>
    <w:semiHidden/>
    <w:rsid w:val="000C3411"/>
    <w:rPr>
      <w:sz w:val="20"/>
      <w:szCs w:val="20"/>
    </w:rPr>
  </w:style>
  <w:style w:type="character" w:customStyle="1" w:styleId="CommentTextChar">
    <w:name w:val="Comment Text Char"/>
    <w:basedOn w:val="DefaultParagraphFont"/>
    <w:link w:val="CommentText"/>
    <w:uiPriority w:val="99"/>
    <w:locked/>
    <w:rsid w:val="001241B9"/>
    <w:rPr>
      <w:rFonts w:ascii="Arial" w:eastAsia="SimSun" w:hAnsi="Arial" w:cs="Arial"/>
      <w:lang w:val="en-GB" w:eastAsia="en-US" w:bidi="ar-SA"/>
    </w:rPr>
  </w:style>
  <w:style w:type="paragraph" w:styleId="CommentSubject">
    <w:name w:val="annotation subject"/>
    <w:basedOn w:val="CommentText"/>
    <w:next w:val="CommentText"/>
    <w:link w:val="CommentSubjectChar"/>
    <w:uiPriority w:val="99"/>
    <w:semiHidden/>
    <w:rsid w:val="000C3411"/>
    <w:rPr>
      <w:b/>
      <w:bCs/>
    </w:rPr>
  </w:style>
  <w:style w:type="character" w:customStyle="1" w:styleId="CommentSubjectChar">
    <w:name w:val="Comment Subject Char"/>
    <w:basedOn w:val="CommentTextChar"/>
    <w:link w:val="CommentSubject"/>
    <w:uiPriority w:val="99"/>
    <w:semiHidden/>
    <w:locked/>
    <w:rsid w:val="001D20DA"/>
    <w:rPr>
      <w:b/>
      <w:bCs/>
      <w:sz w:val="20"/>
      <w:szCs w:val="20"/>
    </w:rPr>
  </w:style>
  <w:style w:type="paragraph" w:customStyle="1" w:styleId="sspara10">
    <w:name w:val="sspara1"/>
    <w:basedOn w:val="Normal"/>
    <w:uiPriority w:val="99"/>
    <w:rsid w:val="0060618D"/>
    <w:pPr>
      <w:spacing w:after="260" w:line="260" w:lineRule="atLeast"/>
      <w:jc w:val="both"/>
    </w:pPr>
    <w:rPr>
      <w:sz w:val="22"/>
      <w:szCs w:val="22"/>
      <w:lang w:val="en-US"/>
    </w:rPr>
  </w:style>
  <w:style w:type="paragraph" w:customStyle="1" w:styleId="Style2">
    <w:name w:val="Style2"/>
    <w:basedOn w:val="Heading1"/>
    <w:uiPriority w:val="99"/>
    <w:rsid w:val="0046044A"/>
    <w:pPr>
      <w:numPr>
        <w:ilvl w:val="2"/>
        <w:numId w:val="21"/>
      </w:numPr>
    </w:pPr>
    <w:rPr>
      <w:sz w:val="28"/>
      <w:szCs w:val="28"/>
    </w:rPr>
  </w:style>
  <w:style w:type="paragraph" w:customStyle="1" w:styleId="Style3">
    <w:name w:val="Style3"/>
    <w:basedOn w:val="Heading1"/>
    <w:uiPriority w:val="99"/>
    <w:rsid w:val="0046044A"/>
    <w:pPr>
      <w:tabs>
        <w:tab w:val="num" w:pos="900"/>
      </w:tabs>
      <w:ind w:left="900" w:hanging="540"/>
    </w:pPr>
    <w:rPr>
      <w:sz w:val="28"/>
    </w:rPr>
  </w:style>
  <w:style w:type="paragraph" w:customStyle="1" w:styleId="Style4">
    <w:name w:val="Style4"/>
    <w:basedOn w:val="Heading1"/>
    <w:uiPriority w:val="99"/>
    <w:rsid w:val="0046044A"/>
    <w:pPr>
      <w:tabs>
        <w:tab w:val="num" w:pos="900"/>
      </w:tabs>
      <w:ind w:left="900" w:hanging="540"/>
    </w:pPr>
    <w:rPr>
      <w:sz w:val="28"/>
    </w:rPr>
  </w:style>
  <w:style w:type="paragraph" w:customStyle="1" w:styleId="StylessPara112ptLeft025Firstline025">
    <w:name w:val="Style ssPara1 + 12 pt Left:  0.25&quot; First line:  0.25&quot;"/>
    <w:basedOn w:val="ssPara1"/>
    <w:uiPriority w:val="99"/>
    <w:rsid w:val="00C564CC"/>
    <w:pPr>
      <w:ind w:left="720"/>
    </w:pPr>
    <w:rPr>
      <w:rFonts w:cs="Times New Roman"/>
      <w:sz w:val="24"/>
      <w:szCs w:val="20"/>
    </w:rPr>
  </w:style>
  <w:style w:type="table" w:styleId="TableGrid">
    <w:name w:val="Table Grid"/>
    <w:basedOn w:val="TableNormal"/>
    <w:uiPriority w:val="99"/>
    <w:rsid w:val="005F3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F3EB5"/>
    <w:pPr>
      <w:autoSpaceDE w:val="0"/>
      <w:autoSpaceDN w:val="0"/>
      <w:adjustRightInd w:val="0"/>
    </w:pPr>
    <w:rPr>
      <w:rFonts w:ascii="TimesNewRoman" w:hAnsi="TimesNewRoman"/>
      <w:lang w:val="en-US" w:eastAsia="en-US"/>
    </w:rPr>
  </w:style>
  <w:style w:type="paragraph" w:styleId="DocumentMap">
    <w:name w:val="Document Map"/>
    <w:basedOn w:val="Normal"/>
    <w:link w:val="DocumentMapChar"/>
    <w:uiPriority w:val="99"/>
    <w:semiHidden/>
    <w:rsid w:val="00402E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D20DA"/>
    <w:rPr>
      <w:rFonts w:cs="Arial"/>
      <w:sz w:val="2"/>
      <w:lang w:eastAsia="en-US"/>
    </w:rPr>
  </w:style>
  <w:style w:type="paragraph" w:customStyle="1" w:styleId="Heading-1">
    <w:name w:val="Heading-1"/>
    <w:basedOn w:val="Normal"/>
    <w:uiPriority w:val="99"/>
    <w:rsid w:val="001A6709"/>
    <w:pPr>
      <w:tabs>
        <w:tab w:val="num" w:pos="360"/>
      </w:tabs>
      <w:spacing w:before="360" w:after="120"/>
      <w:ind w:left="360" w:hanging="360"/>
      <w:outlineLvl w:val="0"/>
    </w:pPr>
    <w:rPr>
      <w:rFonts w:ascii="Arial Bold" w:hAnsi="Arial Bold"/>
      <w:b/>
      <w:bCs/>
      <w:kern w:val="24"/>
      <w:szCs w:val="32"/>
      <w:lang w:val="en-US"/>
    </w:rPr>
  </w:style>
  <w:style w:type="paragraph" w:customStyle="1" w:styleId="Heading-2">
    <w:name w:val="Heading-2"/>
    <w:basedOn w:val="Heading-1"/>
    <w:uiPriority w:val="99"/>
    <w:rsid w:val="001A6709"/>
    <w:pPr>
      <w:tabs>
        <w:tab w:val="clear" w:pos="360"/>
        <w:tab w:val="left" w:pos="1080"/>
      </w:tabs>
      <w:spacing w:before="120"/>
      <w:ind w:left="1080" w:hanging="720"/>
      <w:jc w:val="both"/>
    </w:pPr>
    <w:rPr>
      <w:rFonts w:ascii="Arial" w:hAnsi="Arial"/>
      <w:bCs w:val="0"/>
      <w:lang w:val="en-GB"/>
    </w:rPr>
  </w:style>
  <w:style w:type="paragraph" w:customStyle="1" w:styleId="StyleJustifiedAfter6pt">
    <w:name w:val="Style Justified After:  6 pt"/>
    <w:basedOn w:val="Normal"/>
    <w:uiPriority w:val="99"/>
    <w:rsid w:val="008F6CB6"/>
    <w:pPr>
      <w:jc w:val="both"/>
    </w:pPr>
  </w:style>
  <w:style w:type="paragraph" w:customStyle="1" w:styleId="OutlineNumberedlvl2">
    <w:name w:val="Outline Numbered lvl 2"/>
    <w:basedOn w:val="Heading2"/>
    <w:uiPriority w:val="99"/>
    <w:rsid w:val="00203E01"/>
    <w:rPr>
      <w:bCs/>
    </w:rPr>
  </w:style>
  <w:style w:type="paragraph" w:styleId="FootnoteText">
    <w:name w:val="footnote text"/>
    <w:aliases w:val="ALTS FOOTNOTE,DTE-Voetnoottekst,Footnote Text Char"/>
    <w:basedOn w:val="Normal"/>
    <w:link w:val="FootnoteTextChar1"/>
    <w:uiPriority w:val="99"/>
    <w:semiHidden/>
    <w:rsid w:val="00813424"/>
    <w:rPr>
      <w:sz w:val="20"/>
      <w:szCs w:val="20"/>
    </w:rPr>
  </w:style>
  <w:style w:type="character" w:customStyle="1" w:styleId="FootnoteTextChar1">
    <w:name w:val="Footnote Text Char1"/>
    <w:aliases w:val="ALTS FOOTNOTE Char,DTE-Voetnoottekst Char,Footnote Text Char Char"/>
    <w:basedOn w:val="DefaultParagraphFont"/>
    <w:link w:val="FootnoteText"/>
    <w:uiPriority w:val="99"/>
    <w:semiHidden/>
    <w:locked/>
    <w:rsid w:val="001241B9"/>
    <w:rPr>
      <w:rFonts w:ascii="Arial" w:eastAsia="SimSun" w:hAnsi="Arial" w:cs="Arial"/>
      <w:lang w:val="en-GB" w:eastAsia="en-US" w:bidi="ar-SA"/>
    </w:rPr>
  </w:style>
  <w:style w:type="character" w:styleId="FootnoteReference">
    <w:name w:val="footnote reference"/>
    <w:basedOn w:val="DefaultParagraphFont"/>
    <w:uiPriority w:val="99"/>
    <w:semiHidden/>
    <w:rsid w:val="00813424"/>
    <w:rPr>
      <w:rFonts w:cs="Times New Roman"/>
      <w:vertAlign w:val="superscript"/>
    </w:rPr>
  </w:style>
  <w:style w:type="paragraph" w:customStyle="1" w:styleId="Level3PK">
    <w:name w:val="Level 3 PK"/>
    <w:basedOn w:val="Heading3"/>
    <w:autoRedefine/>
    <w:uiPriority w:val="99"/>
    <w:rsid w:val="00813424"/>
    <w:pPr>
      <w:keepNext w:val="0"/>
      <w:widowControl/>
      <w:tabs>
        <w:tab w:val="clear" w:pos="2280"/>
        <w:tab w:val="num" w:pos="2160"/>
      </w:tabs>
      <w:suppressAutoHyphens/>
      <w:ind w:left="2160"/>
    </w:pPr>
    <w:rPr>
      <w:b w:val="0"/>
      <w:bCs w:val="0"/>
      <w:sz w:val="24"/>
      <w:szCs w:val="24"/>
    </w:rPr>
  </w:style>
  <w:style w:type="character" w:customStyle="1" w:styleId="Header1Char">
    <w:name w:val="Header 1. Char"/>
    <w:basedOn w:val="Heading1Char"/>
    <w:link w:val="Header1"/>
    <w:uiPriority w:val="99"/>
    <w:locked/>
    <w:rsid w:val="007409A9"/>
  </w:style>
  <w:style w:type="paragraph" w:customStyle="1" w:styleId="style30">
    <w:name w:val="style3"/>
    <w:basedOn w:val="Normal"/>
    <w:uiPriority w:val="99"/>
    <w:rsid w:val="002157AE"/>
    <w:pPr>
      <w:spacing w:before="100" w:beforeAutospacing="1" w:after="100" w:afterAutospacing="1"/>
    </w:pPr>
    <w:rPr>
      <w:color w:val="666666"/>
      <w:sz w:val="21"/>
      <w:szCs w:val="21"/>
      <w:lang w:val="en-US"/>
    </w:rPr>
  </w:style>
  <w:style w:type="character" w:customStyle="1" w:styleId="label18">
    <w:name w:val="label18"/>
    <w:basedOn w:val="DefaultParagraphFont"/>
    <w:uiPriority w:val="99"/>
    <w:rsid w:val="001958C1"/>
    <w:rPr>
      <w:rFonts w:cs="Times New Roman"/>
    </w:rPr>
  </w:style>
  <w:style w:type="table" w:styleId="TableContemporary">
    <w:name w:val="Table Contemporary"/>
    <w:basedOn w:val="TableNormal"/>
    <w:uiPriority w:val="99"/>
    <w:rsid w:val="001958C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uiPriority w:val="99"/>
    <w:rsid w:val="00CE1E22"/>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F5B6B"/>
    <w:pPr>
      <w:ind w:left="720"/>
      <w:contextualSpacing/>
    </w:pPr>
  </w:style>
  <w:style w:type="paragraph" w:styleId="Caption">
    <w:name w:val="caption"/>
    <w:basedOn w:val="Normal"/>
    <w:next w:val="Normal"/>
    <w:link w:val="CaptionChar"/>
    <w:uiPriority w:val="99"/>
    <w:qFormat/>
    <w:locked/>
    <w:rsid w:val="001241B9"/>
    <w:pPr>
      <w:keepNext/>
      <w:spacing w:before="240" w:after="120" w:line="264" w:lineRule="auto"/>
    </w:pPr>
    <w:rPr>
      <w:sz w:val="20"/>
      <w:szCs w:val="20"/>
    </w:rPr>
  </w:style>
  <w:style w:type="paragraph" w:customStyle="1" w:styleId="SourceText">
    <w:name w:val="Source Text"/>
    <w:basedOn w:val="Heading5"/>
    <w:uiPriority w:val="99"/>
    <w:rsid w:val="001241B9"/>
    <w:pPr>
      <w:widowControl/>
      <w:tabs>
        <w:tab w:val="clear" w:pos="3240"/>
      </w:tabs>
      <w:spacing w:before="120" w:after="240" w:line="264" w:lineRule="auto"/>
      <w:ind w:left="0" w:firstLine="0"/>
      <w:jc w:val="left"/>
    </w:pPr>
    <w:rPr>
      <w:b w:val="0"/>
      <w:bCs w:val="0"/>
      <w:iCs/>
      <w:sz w:val="16"/>
      <w:szCs w:val="20"/>
    </w:rPr>
  </w:style>
  <w:style w:type="paragraph" w:customStyle="1" w:styleId="TableText">
    <w:name w:val="Table Text"/>
    <w:basedOn w:val="Normal"/>
    <w:uiPriority w:val="99"/>
    <w:rsid w:val="001241B9"/>
    <w:pPr>
      <w:keepNext/>
      <w:spacing w:before="120" w:after="120" w:line="264" w:lineRule="auto"/>
      <w:jc w:val="center"/>
    </w:pPr>
    <w:rPr>
      <w:sz w:val="20"/>
      <w:szCs w:val="20"/>
    </w:rPr>
  </w:style>
  <w:style w:type="paragraph" w:styleId="ListBullet">
    <w:name w:val="List Bullet"/>
    <w:aliases w:val="Char Char Char"/>
    <w:basedOn w:val="Normal"/>
    <w:link w:val="ListBulletChar"/>
    <w:uiPriority w:val="99"/>
    <w:rsid w:val="001241B9"/>
    <w:pPr>
      <w:numPr>
        <w:numId w:val="23"/>
      </w:numPr>
      <w:spacing w:before="120" w:after="120" w:line="264" w:lineRule="auto"/>
      <w:jc w:val="both"/>
    </w:pPr>
    <w:rPr>
      <w:rFonts w:ascii="Garamond" w:hAnsi="Garamond" w:cs="Times New Roman"/>
      <w:szCs w:val="20"/>
    </w:rPr>
  </w:style>
  <w:style w:type="character" w:customStyle="1" w:styleId="CaptionChar">
    <w:name w:val="Caption Char"/>
    <w:basedOn w:val="DefaultParagraphFont"/>
    <w:link w:val="Caption"/>
    <w:uiPriority w:val="99"/>
    <w:locked/>
    <w:rsid w:val="001241B9"/>
    <w:rPr>
      <w:rFonts w:ascii="Arial" w:hAnsi="Arial" w:cs="Arial"/>
      <w:lang w:val="en-GB" w:eastAsia="en-US" w:bidi="ar-SA"/>
    </w:rPr>
  </w:style>
  <w:style w:type="character" w:customStyle="1" w:styleId="ListBulletChar">
    <w:name w:val="List Bullet Char"/>
    <w:aliases w:val="Char Char Char Char"/>
    <w:basedOn w:val="DefaultParagraphFont"/>
    <w:link w:val="ListBullet"/>
    <w:uiPriority w:val="99"/>
    <w:locked/>
    <w:rsid w:val="001241B9"/>
    <w:rPr>
      <w:rFonts w:ascii="Garamond" w:eastAsia="SimSun" w:hAnsi="Garamond"/>
      <w:sz w:val="24"/>
      <w:lang w:val="en-GB" w:eastAsia="en-US" w:bidi="ar-SA"/>
    </w:rPr>
  </w:style>
  <w:style w:type="paragraph" w:customStyle="1" w:styleId="Bullet">
    <w:name w:val="Bullet"/>
    <w:basedOn w:val="Heading3"/>
    <w:uiPriority w:val="99"/>
    <w:rsid w:val="00EF63E2"/>
    <w:pPr>
      <w:tabs>
        <w:tab w:val="num" w:pos="720"/>
      </w:tabs>
      <w:ind w:left="720"/>
    </w:pPr>
    <w:rPr>
      <w:b w:val="0"/>
      <w:sz w:val="24"/>
      <w:szCs w:val="24"/>
    </w:rPr>
  </w:style>
  <w:style w:type="paragraph" w:customStyle="1" w:styleId="Heading2j">
    <w:name w:val="Heading 2j"/>
    <w:basedOn w:val="Normal"/>
    <w:uiPriority w:val="99"/>
    <w:rsid w:val="00EC7630"/>
    <w:pPr>
      <w:ind w:left="720"/>
    </w:pPr>
  </w:style>
  <w:style w:type="paragraph" w:customStyle="1" w:styleId="Jheading2">
    <w:name w:val="J heading 2"/>
    <w:basedOn w:val="Heading2j"/>
    <w:uiPriority w:val="99"/>
    <w:rsid w:val="00FA506A"/>
    <w:pPr>
      <w:spacing w:after="240"/>
    </w:pPr>
    <w:rPr>
      <w:b/>
    </w:rPr>
  </w:style>
  <w:style w:type="paragraph" w:customStyle="1" w:styleId="111style">
    <w:name w:val="1.1.1 style"/>
    <w:basedOn w:val="Heading4"/>
    <w:uiPriority w:val="99"/>
    <w:rsid w:val="00FA506A"/>
    <w:pPr>
      <w:numPr>
        <w:ilvl w:val="2"/>
      </w:numPr>
      <w:tabs>
        <w:tab w:val="num" w:pos="2282"/>
        <w:tab w:val="num" w:pos="2880"/>
      </w:tabs>
      <w:spacing w:after="0"/>
      <w:ind w:left="2282" w:hanging="720"/>
    </w:pPr>
    <w:rPr>
      <w:b w:val="0"/>
    </w:rPr>
  </w:style>
  <w:style w:type="paragraph" w:customStyle="1" w:styleId="Jheading3">
    <w:name w:val="J heading 3"/>
    <w:basedOn w:val="Heading3"/>
    <w:uiPriority w:val="99"/>
    <w:rsid w:val="00362C5B"/>
    <w:rPr>
      <w:b w:val="0"/>
    </w:rPr>
  </w:style>
  <w:style w:type="paragraph" w:styleId="TOCHeading">
    <w:name w:val="TOC Heading"/>
    <w:basedOn w:val="Heading1"/>
    <w:next w:val="Normal"/>
    <w:uiPriority w:val="39"/>
    <w:qFormat/>
    <w:rsid w:val="00E76CF4"/>
    <w:pPr>
      <w:keepNext/>
      <w:keepLines/>
      <w:suppressAutoHyphens w:val="0"/>
      <w:spacing w:before="480" w:line="276" w:lineRule="auto"/>
      <w:outlineLvl w:val="9"/>
    </w:pPr>
    <w:rPr>
      <w:rFonts w:ascii="Cambria" w:hAnsi="Cambria" w:cs="Times New Roman"/>
      <w:color w:val="365F91"/>
      <w:sz w:val="28"/>
      <w:szCs w:val="28"/>
    </w:rPr>
  </w:style>
  <w:style w:type="character" w:styleId="Emphasis">
    <w:name w:val="Emphasis"/>
    <w:basedOn w:val="DefaultParagraphFont"/>
    <w:uiPriority w:val="99"/>
    <w:qFormat/>
    <w:rsid w:val="00244C00"/>
    <w:rPr>
      <w:rFonts w:cs="Times New Roman"/>
      <w:i/>
      <w:iCs/>
    </w:rPr>
  </w:style>
  <w:style w:type="paragraph" w:styleId="Revision">
    <w:name w:val="Revision"/>
    <w:hidden/>
    <w:uiPriority w:val="99"/>
    <w:semiHidden/>
    <w:rsid w:val="00340E91"/>
    <w:rPr>
      <w:rFonts w:ascii="Arial" w:hAnsi="Arial" w:cs="Arial"/>
      <w:sz w:val="24"/>
      <w:szCs w:val="24"/>
      <w:lang w:eastAsia="en-US"/>
    </w:rPr>
  </w:style>
  <w:style w:type="character" w:styleId="Strong">
    <w:name w:val="Strong"/>
    <w:basedOn w:val="DefaultParagraphFont"/>
    <w:qFormat/>
    <w:rsid w:val="003F1024"/>
    <w:rPr>
      <w:rFonts w:cs="Times New Roman"/>
      <w:b/>
      <w:bCs/>
    </w:rPr>
  </w:style>
  <w:style w:type="numbering" w:styleId="111111">
    <w:name w:val="Outline List 2"/>
    <w:basedOn w:val="NoList"/>
    <w:uiPriority w:val="99"/>
    <w:rsid w:val="00FA6BC2"/>
    <w:pPr>
      <w:numPr>
        <w:numId w:val="20"/>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single" w:sz="6" w:space="7" w:color="C4C4C4"/>
                        <w:bottom w:val="none" w:sz="0" w:space="0" w:color="auto"/>
                        <w:right w:val="single" w:sz="6" w:space="7" w:color="C4C4C4"/>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24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24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112">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single" w:sz="6" w:space="7" w:color="C4C4C4"/>
                        <w:bottom w:val="none" w:sz="0" w:space="0" w:color="auto"/>
                        <w:right w:val="single" w:sz="6" w:space="7" w:color="C4C4C4"/>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24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24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2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single" w:sz="6" w:space="7" w:color="C4C4C4"/>
                        <w:bottom w:val="none" w:sz="0" w:space="0" w:color="auto"/>
                        <w:right w:val="single" w:sz="6" w:space="7" w:color="C4C4C4"/>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24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24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single" w:sz="6" w:space="7" w:color="C4C4C4"/>
                        <w:bottom w:val="none" w:sz="0" w:space="0" w:color="auto"/>
                        <w:right w:val="single" w:sz="6" w:space="7" w:color="C4C4C4"/>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single" w:sz="6" w:space="7" w:color="C4C4C4"/>
                        <w:bottom w:val="none" w:sz="0" w:space="0" w:color="auto"/>
                        <w:right w:val="single" w:sz="6" w:space="7" w:color="C4C4C4"/>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24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24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single" w:sz="6" w:space="7" w:color="C4C4C4"/>
                        <w:bottom w:val="none" w:sz="0" w:space="0" w:color="auto"/>
                        <w:right w:val="single" w:sz="6" w:space="7" w:color="C4C4C4"/>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24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single" w:sz="6" w:space="7" w:color="C4C4C4"/>
                        <w:bottom w:val="none" w:sz="0" w:space="0" w:color="auto"/>
                        <w:right w:val="single" w:sz="6" w:space="7" w:color="C4C4C4"/>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24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24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64">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single" w:sz="6" w:space="7" w:color="C4C4C4"/>
                        <w:bottom w:val="none" w:sz="0" w:space="0" w:color="auto"/>
                        <w:right w:val="single" w:sz="6" w:space="7" w:color="C4C4C4"/>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24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24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3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single" w:sz="6" w:space="7" w:color="C4C4C4"/>
                        <w:bottom w:val="none" w:sz="0" w:space="0" w:color="auto"/>
                        <w:right w:val="single" w:sz="6" w:space="7" w:color="C4C4C4"/>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
      <w:marLeft w:val="0"/>
      <w:marRight w:val="0"/>
      <w:marTop w:val="0"/>
      <w:marBottom w:val="0"/>
      <w:divBdr>
        <w:top w:val="none" w:sz="0" w:space="0" w:color="auto"/>
        <w:left w:val="none" w:sz="0" w:space="0" w:color="auto"/>
        <w:bottom w:val="none" w:sz="0" w:space="0" w:color="auto"/>
        <w:right w:val="none" w:sz="0" w:space="0" w:color="auto"/>
      </w:divBdr>
    </w:div>
    <w:div w:id="511337040">
      <w:marLeft w:val="0"/>
      <w:marRight w:val="0"/>
      <w:marTop w:val="0"/>
      <w:marBottom w:val="0"/>
      <w:divBdr>
        <w:top w:val="none" w:sz="0" w:space="0" w:color="auto"/>
        <w:left w:val="none" w:sz="0" w:space="0" w:color="auto"/>
        <w:bottom w:val="none" w:sz="0" w:space="0" w:color="auto"/>
        <w:right w:val="none" w:sz="0" w:space="0" w:color="auto"/>
      </w:divBdr>
    </w:div>
    <w:div w:id="511337044">
      <w:marLeft w:val="0"/>
      <w:marRight w:val="0"/>
      <w:marTop w:val="0"/>
      <w:marBottom w:val="0"/>
      <w:divBdr>
        <w:top w:val="none" w:sz="0" w:space="0" w:color="auto"/>
        <w:left w:val="none" w:sz="0" w:space="0" w:color="auto"/>
        <w:bottom w:val="none" w:sz="0" w:space="0" w:color="auto"/>
        <w:right w:val="none" w:sz="0" w:space="0" w:color="auto"/>
      </w:divBdr>
      <w:divsChild>
        <w:div w:id="511337098">
          <w:marLeft w:val="0"/>
          <w:marRight w:val="0"/>
          <w:marTop w:val="0"/>
          <w:marBottom w:val="0"/>
          <w:divBdr>
            <w:top w:val="none" w:sz="0" w:space="0" w:color="auto"/>
            <w:left w:val="none" w:sz="0" w:space="0" w:color="auto"/>
            <w:bottom w:val="none" w:sz="0" w:space="0" w:color="auto"/>
            <w:right w:val="none" w:sz="0" w:space="0" w:color="auto"/>
          </w:divBdr>
          <w:divsChild>
            <w:div w:id="511337209">
              <w:marLeft w:val="0"/>
              <w:marRight w:val="0"/>
              <w:marTop w:val="0"/>
              <w:marBottom w:val="0"/>
              <w:divBdr>
                <w:top w:val="none" w:sz="0" w:space="0" w:color="auto"/>
                <w:left w:val="none" w:sz="0" w:space="0" w:color="auto"/>
                <w:bottom w:val="none" w:sz="0" w:space="0" w:color="auto"/>
                <w:right w:val="none" w:sz="0" w:space="0" w:color="auto"/>
              </w:divBdr>
              <w:divsChild>
                <w:div w:id="511337202">
                  <w:marLeft w:val="0"/>
                  <w:marRight w:val="0"/>
                  <w:marTop w:val="0"/>
                  <w:marBottom w:val="0"/>
                  <w:divBdr>
                    <w:top w:val="none" w:sz="0" w:space="0" w:color="auto"/>
                    <w:left w:val="none" w:sz="0" w:space="0" w:color="auto"/>
                    <w:bottom w:val="none" w:sz="0" w:space="0" w:color="auto"/>
                    <w:right w:val="none" w:sz="0" w:space="0" w:color="auto"/>
                  </w:divBdr>
                  <w:divsChild>
                    <w:div w:id="511337057">
                      <w:marLeft w:val="0"/>
                      <w:marRight w:val="0"/>
                      <w:marTop w:val="0"/>
                      <w:marBottom w:val="0"/>
                      <w:divBdr>
                        <w:top w:val="none" w:sz="0" w:space="0" w:color="auto"/>
                        <w:left w:val="single" w:sz="6" w:space="7" w:color="C4C4C4"/>
                        <w:bottom w:val="none" w:sz="0" w:space="0" w:color="auto"/>
                        <w:right w:val="single" w:sz="6" w:space="7" w:color="C4C4C4"/>
                      </w:divBdr>
                      <w:divsChild>
                        <w:div w:id="511337204">
                          <w:marLeft w:val="0"/>
                          <w:marRight w:val="0"/>
                          <w:marTop w:val="0"/>
                          <w:marBottom w:val="0"/>
                          <w:divBdr>
                            <w:top w:val="none" w:sz="0" w:space="0" w:color="auto"/>
                            <w:left w:val="none" w:sz="0" w:space="0" w:color="auto"/>
                            <w:bottom w:val="none" w:sz="0" w:space="0" w:color="auto"/>
                            <w:right w:val="none" w:sz="0" w:space="0" w:color="auto"/>
                          </w:divBdr>
                          <w:divsChild>
                            <w:div w:id="511337146">
                              <w:marLeft w:val="0"/>
                              <w:marRight w:val="0"/>
                              <w:marTop w:val="0"/>
                              <w:marBottom w:val="0"/>
                              <w:divBdr>
                                <w:top w:val="none" w:sz="0" w:space="0" w:color="auto"/>
                                <w:left w:val="none" w:sz="0" w:space="0" w:color="auto"/>
                                <w:bottom w:val="none" w:sz="0" w:space="0" w:color="auto"/>
                                <w:right w:val="none" w:sz="0" w:space="0" w:color="auto"/>
                              </w:divBdr>
                              <w:divsChild>
                                <w:div w:id="511337101">
                                  <w:marLeft w:val="0"/>
                                  <w:marRight w:val="0"/>
                                  <w:marTop w:val="0"/>
                                  <w:marBottom w:val="240"/>
                                  <w:divBdr>
                                    <w:top w:val="none" w:sz="0" w:space="0" w:color="auto"/>
                                    <w:left w:val="none" w:sz="0" w:space="0" w:color="auto"/>
                                    <w:bottom w:val="none" w:sz="0" w:space="0" w:color="auto"/>
                                    <w:right w:val="none" w:sz="0" w:space="0" w:color="auto"/>
                                  </w:divBdr>
                                  <w:divsChild>
                                    <w:div w:id="511337047">
                                      <w:marLeft w:val="0"/>
                                      <w:marRight w:val="0"/>
                                      <w:marTop w:val="0"/>
                                      <w:marBottom w:val="0"/>
                                      <w:divBdr>
                                        <w:top w:val="none" w:sz="0" w:space="0" w:color="auto"/>
                                        <w:left w:val="none" w:sz="0" w:space="0" w:color="auto"/>
                                        <w:bottom w:val="none" w:sz="0" w:space="0" w:color="auto"/>
                                        <w:right w:val="none" w:sz="0" w:space="0" w:color="auto"/>
                                      </w:divBdr>
                                      <w:divsChild>
                                        <w:div w:id="511337094">
                                          <w:marLeft w:val="0"/>
                                          <w:marRight w:val="0"/>
                                          <w:marTop w:val="0"/>
                                          <w:marBottom w:val="0"/>
                                          <w:divBdr>
                                            <w:top w:val="none" w:sz="0" w:space="0" w:color="auto"/>
                                            <w:left w:val="none" w:sz="0" w:space="0" w:color="auto"/>
                                            <w:bottom w:val="none" w:sz="0" w:space="0" w:color="auto"/>
                                            <w:right w:val="none" w:sz="0" w:space="0" w:color="auto"/>
                                          </w:divBdr>
                                          <w:divsChild>
                                            <w:div w:id="511337128">
                                              <w:marLeft w:val="0"/>
                                              <w:marRight w:val="0"/>
                                              <w:marTop w:val="0"/>
                                              <w:marBottom w:val="0"/>
                                              <w:divBdr>
                                                <w:top w:val="none" w:sz="0" w:space="0" w:color="auto"/>
                                                <w:left w:val="none" w:sz="0" w:space="0" w:color="auto"/>
                                                <w:bottom w:val="none" w:sz="0" w:space="0" w:color="auto"/>
                                                <w:right w:val="none" w:sz="0" w:space="0" w:color="auto"/>
                                              </w:divBdr>
                                              <w:divsChild>
                                                <w:div w:id="511337145">
                                                  <w:marLeft w:val="0"/>
                                                  <w:marRight w:val="0"/>
                                                  <w:marTop w:val="0"/>
                                                  <w:marBottom w:val="240"/>
                                                  <w:divBdr>
                                                    <w:top w:val="none" w:sz="0" w:space="0" w:color="auto"/>
                                                    <w:left w:val="none" w:sz="0" w:space="0" w:color="auto"/>
                                                    <w:bottom w:val="none" w:sz="0" w:space="0" w:color="auto"/>
                                                    <w:right w:val="none" w:sz="0" w:space="0" w:color="auto"/>
                                                  </w:divBdr>
                                                  <w:divsChild>
                                                    <w:div w:id="511337099">
                                                      <w:marLeft w:val="0"/>
                                                      <w:marRight w:val="0"/>
                                                      <w:marTop w:val="0"/>
                                                      <w:marBottom w:val="0"/>
                                                      <w:divBdr>
                                                        <w:top w:val="none" w:sz="0" w:space="0" w:color="auto"/>
                                                        <w:left w:val="none" w:sz="0" w:space="0" w:color="auto"/>
                                                        <w:bottom w:val="none" w:sz="0" w:space="0" w:color="auto"/>
                                                        <w:right w:val="none" w:sz="0" w:space="0" w:color="auto"/>
                                                      </w:divBdr>
                                                      <w:divsChild>
                                                        <w:div w:id="511337151">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337058">
      <w:marLeft w:val="0"/>
      <w:marRight w:val="0"/>
      <w:marTop w:val="0"/>
      <w:marBottom w:val="0"/>
      <w:divBdr>
        <w:top w:val="none" w:sz="0" w:space="0" w:color="auto"/>
        <w:left w:val="none" w:sz="0" w:space="0" w:color="auto"/>
        <w:bottom w:val="none" w:sz="0" w:space="0" w:color="auto"/>
        <w:right w:val="none" w:sz="0" w:space="0" w:color="auto"/>
      </w:divBdr>
    </w:div>
    <w:div w:id="511337061">
      <w:marLeft w:val="0"/>
      <w:marRight w:val="0"/>
      <w:marTop w:val="0"/>
      <w:marBottom w:val="0"/>
      <w:divBdr>
        <w:top w:val="none" w:sz="0" w:space="0" w:color="auto"/>
        <w:left w:val="none" w:sz="0" w:space="0" w:color="auto"/>
        <w:bottom w:val="none" w:sz="0" w:space="0" w:color="auto"/>
        <w:right w:val="none" w:sz="0" w:space="0" w:color="auto"/>
      </w:divBdr>
    </w:div>
    <w:div w:id="511337066">
      <w:marLeft w:val="0"/>
      <w:marRight w:val="0"/>
      <w:marTop w:val="0"/>
      <w:marBottom w:val="0"/>
      <w:divBdr>
        <w:top w:val="none" w:sz="0" w:space="0" w:color="auto"/>
        <w:left w:val="none" w:sz="0" w:space="0" w:color="auto"/>
        <w:bottom w:val="none" w:sz="0" w:space="0" w:color="auto"/>
        <w:right w:val="none" w:sz="0" w:space="0" w:color="auto"/>
      </w:divBdr>
    </w:div>
    <w:div w:id="511337067">
      <w:marLeft w:val="0"/>
      <w:marRight w:val="0"/>
      <w:marTop w:val="0"/>
      <w:marBottom w:val="0"/>
      <w:divBdr>
        <w:top w:val="none" w:sz="0" w:space="0" w:color="auto"/>
        <w:left w:val="none" w:sz="0" w:space="0" w:color="auto"/>
        <w:bottom w:val="none" w:sz="0" w:space="0" w:color="auto"/>
        <w:right w:val="none" w:sz="0" w:space="0" w:color="auto"/>
      </w:divBdr>
    </w:div>
    <w:div w:id="511337070">
      <w:marLeft w:val="0"/>
      <w:marRight w:val="0"/>
      <w:marTop w:val="0"/>
      <w:marBottom w:val="0"/>
      <w:divBdr>
        <w:top w:val="none" w:sz="0" w:space="0" w:color="auto"/>
        <w:left w:val="none" w:sz="0" w:space="0" w:color="auto"/>
        <w:bottom w:val="none" w:sz="0" w:space="0" w:color="auto"/>
        <w:right w:val="none" w:sz="0" w:space="0" w:color="auto"/>
      </w:divBdr>
    </w:div>
    <w:div w:id="511337074">
      <w:marLeft w:val="0"/>
      <w:marRight w:val="0"/>
      <w:marTop w:val="0"/>
      <w:marBottom w:val="0"/>
      <w:divBdr>
        <w:top w:val="none" w:sz="0" w:space="0" w:color="auto"/>
        <w:left w:val="none" w:sz="0" w:space="0" w:color="auto"/>
        <w:bottom w:val="none" w:sz="0" w:space="0" w:color="auto"/>
        <w:right w:val="none" w:sz="0" w:space="0" w:color="auto"/>
      </w:divBdr>
    </w:div>
    <w:div w:id="511337075">
      <w:marLeft w:val="0"/>
      <w:marRight w:val="0"/>
      <w:marTop w:val="0"/>
      <w:marBottom w:val="0"/>
      <w:divBdr>
        <w:top w:val="none" w:sz="0" w:space="0" w:color="auto"/>
        <w:left w:val="none" w:sz="0" w:space="0" w:color="auto"/>
        <w:bottom w:val="none" w:sz="0" w:space="0" w:color="auto"/>
        <w:right w:val="none" w:sz="0" w:space="0" w:color="auto"/>
      </w:divBdr>
    </w:div>
    <w:div w:id="511337076">
      <w:marLeft w:val="0"/>
      <w:marRight w:val="0"/>
      <w:marTop w:val="0"/>
      <w:marBottom w:val="0"/>
      <w:divBdr>
        <w:top w:val="none" w:sz="0" w:space="0" w:color="auto"/>
        <w:left w:val="none" w:sz="0" w:space="0" w:color="auto"/>
        <w:bottom w:val="none" w:sz="0" w:space="0" w:color="auto"/>
        <w:right w:val="none" w:sz="0" w:space="0" w:color="auto"/>
      </w:divBdr>
      <w:divsChild>
        <w:div w:id="511337080">
          <w:marLeft w:val="0"/>
          <w:marRight w:val="0"/>
          <w:marTop w:val="0"/>
          <w:marBottom w:val="0"/>
          <w:divBdr>
            <w:top w:val="none" w:sz="0" w:space="0" w:color="auto"/>
            <w:left w:val="none" w:sz="0" w:space="0" w:color="auto"/>
            <w:bottom w:val="none" w:sz="0" w:space="0" w:color="auto"/>
            <w:right w:val="none" w:sz="0" w:space="0" w:color="auto"/>
          </w:divBdr>
          <w:divsChild>
            <w:div w:id="511337173">
              <w:marLeft w:val="0"/>
              <w:marRight w:val="0"/>
              <w:marTop w:val="0"/>
              <w:marBottom w:val="0"/>
              <w:divBdr>
                <w:top w:val="none" w:sz="0" w:space="0" w:color="auto"/>
                <w:left w:val="none" w:sz="0" w:space="0" w:color="auto"/>
                <w:bottom w:val="none" w:sz="0" w:space="0" w:color="auto"/>
                <w:right w:val="none" w:sz="0" w:space="0" w:color="auto"/>
              </w:divBdr>
              <w:divsChild>
                <w:div w:id="511337177">
                  <w:marLeft w:val="0"/>
                  <w:marRight w:val="0"/>
                  <w:marTop w:val="0"/>
                  <w:marBottom w:val="0"/>
                  <w:divBdr>
                    <w:top w:val="none" w:sz="0" w:space="0" w:color="auto"/>
                    <w:left w:val="none" w:sz="0" w:space="0" w:color="auto"/>
                    <w:bottom w:val="none" w:sz="0" w:space="0" w:color="auto"/>
                    <w:right w:val="none" w:sz="0" w:space="0" w:color="auto"/>
                  </w:divBdr>
                  <w:divsChild>
                    <w:div w:id="511337042">
                      <w:marLeft w:val="0"/>
                      <w:marRight w:val="0"/>
                      <w:marTop w:val="0"/>
                      <w:marBottom w:val="0"/>
                      <w:divBdr>
                        <w:top w:val="none" w:sz="0" w:space="0" w:color="auto"/>
                        <w:left w:val="single" w:sz="6" w:space="7" w:color="C4C4C4"/>
                        <w:bottom w:val="none" w:sz="0" w:space="0" w:color="auto"/>
                        <w:right w:val="single" w:sz="6" w:space="7" w:color="C4C4C4"/>
                      </w:divBdr>
                      <w:divsChild>
                        <w:div w:id="511337125">
                          <w:marLeft w:val="0"/>
                          <w:marRight w:val="0"/>
                          <w:marTop w:val="0"/>
                          <w:marBottom w:val="0"/>
                          <w:divBdr>
                            <w:top w:val="none" w:sz="0" w:space="0" w:color="auto"/>
                            <w:left w:val="none" w:sz="0" w:space="0" w:color="auto"/>
                            <w:bottom w:val="none" w:sz="0" w:space="0" w:color="auto"/>
                            <w:right w:val="none" w:sz="0" w:space="0" w:color="auto"/>
                          </w:divBdr>
                          <w:divsChild>
                            <w:div w:id="511337134">
                              <w:marLeft w:val="0"/>
                              <w:marRight w:val="0"/>
                              <w:marTop w:val="0"/>
                              <w:marBottom w:val="0"/>
                              <w:divBdr>
                                <w:top w:val="none" w:sz="0" w:space="0" w:color="auto"/>
                                <w:left w:val="none" w:sz="0" w:space="0" w:color="auto"/>
                                <w:bottom w:val="none" w:sz="0" w:space="0" w:color="auto"/>
                                <w:right w:val="none" w:sz="0" w:space="0" w:color="auto"/>
                              </w:divBdr>
                              <w:divsChild>
                                <w:div w:id="511337054">
                                  <w:marLeft w:val="0"/>
                                  <w:marRight w:val="0"/>
                                  <w:marTop w:val="0"/>
                                  <w:marBottom w:val="240"/>
                                  <w:divBdr>
                                    <w:top w:val="none" w:sz="0" w:space="0" w:color="auto"/>
                                    <w:left w:val="none" w:sz="0" w:space="0" w:color="auto"/>
                                    <w:bottom w:val="none" w:sz="0" w:space="0" w:color="auto"/>
                                    <w:right w:val="none" w:sz="0" w:space="0" w:color="auto"/>
                                  </w:divBdr>
                                  <w:divsChild>
                                    <w:div w:id="511337174">
                                      <w:marLeft w:val="0"/>
                                      <w:marRight w:val="0"/>
                                      <w:marTop w:val="0"/>
                                      <w:marBottom w:val="0"/>
                                      <w:divBdr>
                                        <w:top w:val="none" w:sz="0" w:space="0" w:color="auto"/>
                                        <w:left w:val="none" w:sz="0" w:space="0" w:color="auto"/>
                                        <w:bottom w:val="none" w:sz="0" w:space="0" w:color="auto"/>
                                        <w:right w:val="none" w:sz="0" w:space="0" w:color="auto"/>
                                      </w:divBdr>
                                      <w:divsChild>
                                        <w:div w:id="511337089">
                                          <w:marLeft w:val="0"/>
                                          <w:marRight w:val="0"/>
                                          <w:marTop w:val="0"/>
                                          <w:marBottom w:val="0"/>
                                          <w:divBdr>
                                            <w:top w:val="none" w:sz="0" w:space="0" w:color="auto"/>
                                            <w:left w:val="none" w:sz="0" w:space="0" w:color="auto"/>
                                            <w:bottom w:val="none" w:sz="0" w:space="0" w:color="auto"/>
                                            <w:right w:val="none" w:sz="0" w:space="0" w:color="auto"/>
                                          </w:divBdr>
                                          <w:divsChild>
                                            <w:div w:id="511337198">
                                              <w:marLeft w:val="0"/>
                                              <w:marRight w:val="0"/>
                                              <w:marTop w:val="0"/>
                                              <w:marBottom w:val="0"/>
                                              <w:divBdr>
                                                <w:top w:val="none" w:sz="0" w:space="0" w:color="auto"/>
                                                <w:left w:val="none" w:sz="0" w:space="0" w:color="auto"/>
                                                <w:bottom w:val="none" w:sz="0" w:space="0" w:color="auto"/>
                                                <w:right w:val="none" w:sz="0" w:space="0" w:color="auto"/>
                                              </w:divBdr>
                                              <w:divsChild>
                                                <w:div w:id="511337051">
                                                  <w:marLeft w:val="0"/>
                                                  <w:marRight w:val="0"/>
                                                  <w:marTop w:val="0"/>
                                                  <w:marBottom w:val="240"/>
                                                  <w:divBdr>
                                                    <w:top w:val="none" w:sz="0" w:space="0" w:color="auto"/>
                                                    <w:left w:val="none" w:sz="0" w:space="0" w:color="auto"/>
                                                    <w:bottom w:val="none" w:sz="0" w:space="0" w:color="auto"/>
                                                    <w:right w:val="none" w:sz="0" w:space="0" w:color="auto"/>
                                                  </w:divBdr>
                                                  <w:divsChild>
                                                    <w:div w:id="511337069">
                                                      <w:marLeft w:val="0"/>
                                                      <w:marRight w:val="0"/>
                                                      <w:marTop w:val="0"/>
                                                      <w:marBottom w:val="0"/>
                                                      <w:divBdr>
                                                        <w:top w:val="none" w:sz="0" w:space="0" w:color="auto"/>
                                                        <w:left w:val="none" w:sz="0" w:space="0" w:color="auto"/>
                                                        <w:bottom w:val="none" w:sz="0" w:space="0" w:color="auto"/>
                                                        <w:right w:val="none" w:sz="0" w:space="0" w:color="auto"/>
                                                      </w:divBdr>
                                                      <w:divsChild>
                                                        <w:div w:id="511337167">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337078">
      <w:marLeft w:val="0"/>
      <w:marRight w:val="0"/>
      <w:marTop w:val="0"/>
      <w:marBottom w:val="0"/>
      <w:divBdr>
        <w:top w:val="none" w:sz="0" w:space="0" w:color="auto"/>
        <w:left w:val="none" w:sz="0" w:space="0" w:color="auto"/>
        <w:bottom w:val="none" w:sz="0" w:space="0" w:color="auto"/>
        <w:right w:val="none" w:sz="0" w:space="0" w:color="auto"/>
      </w:divBdr>
    </w:div>
    <w:div w:id="511337079">
      <w:marLeft w:val="0"/>
      <w:marRight w:val="0"/>
      <w:marTop w:val="0"/>
      <w:marBottom w:val="0"/>
      <w:divBdr>
        <w:top w:val="none" w:sz="0" w:space="0" w:color="auto"/>
        <w:left w:val="none" w:sz="0" w:space="0" w:color="auto"/>
        <w:bottom w:val="none" w:sz="0" w:space="0" w:color="auto"/>
        <w:right w:val="none" w:sz="0" w:space="0" w:color="auto"/>
      </w:divBdr>
    </w:div>
    <w:div w:id="511337081">
      <w:marLeft w:val="0"/>
      <w:marRight w:val="0"/>
      <w:marTop w:val="0"/>
      <w:marBottom w:val="0"/>
      <w:divBdr>
        <w:top w:val="none" w:sz="0" w:space="0" w:color="auto"/>
        <w:left w:val="none" w:sz="0" w:space="0" w:color="auto"/>
        <w:bottom w:val="none" w:sz="0" w:space="0" w:color="auto"/>
        <w:right w:val="none" w:sz="0" w:space="0" w:color="auto"/>
      </w:divBdr>
    </w:div>
    <w:div w:id="511337082">
      <w:marLeft w:val="0"/>
      <w:marRight w:val="0"/>
      <w:marTop w:val="0"/>
      <w:marBottom w:val="0"/>
      <w:divBdr>
        <w:top w:val="none" w:sz="0" w:space="0" w:color="auto"/>
        <w:left w:val="none" w:sz="0" w:space="0" w:color="auto"/>
        <w:bottom w:val="none" w:sz="0" w:space="0" w:color="auto"/>
        <w:right w:val="none" w:sz="0" w:space="0" w:color="auto"/>
      </w:divBdr>
    </w:div>
    <w:div w:id="511337085">
      <w:marLeft w:val="0"/>
      <w:marRight w:val="0"/>
      <w:marTop w:val="0"/>
      <w:marBottom w:val="0"/>
      <w:divBdr>
        <w:top w:val="none" w:sz="0" w:space="0" w:color="auto"/>
        <w:left w:val="none" w:sz="0" w:space="0" w:color="auto"/>
        <w:bottom w:val="none" w:sz="0" w:space="0" w:color="auto"/>
        <w:right w:val="none" w:sz="0" w:space="0" w:color="auto"/>
      </w:divBdr>
    </w:div>
    <w:div w:id="511337086">
      <w:marLeft w:val="0"/>
      <w:marRight w:val="0"/>
      <w:marTop w:val="0"/>
      <w:marBottom w:val="0"/>
      <w:divBdr>
        <w:top w:val="none" w:sz="0" w:space="0" w:color="auto"/>
        <w:left w:val="none" w:sz="0" w:space="0" w:color="auto"/>
        <w:bottom w:val="none" w:sz="0" w:space="0" w:color="auto"/>
        <w:right w:val="none" w:sz="0" w:space="0" w:color="auto"/>
      </w:divBdr>
    </w:div>
    <w:div w:id="511337087">
      <w:marLeft w:val="0"/>
      <w:marRight w:val="0"/>
      <w:marTop w:val="0"/>
      <w:marBottom w:val="0"/>
      <w:divBdr>
        <w:top w:val="none" w:sz="0" w:space="0" w:color="auto"/>
        <w:left w:val="none" w:sz="0" w:space="0" w:color="auto"/>
        <w:bottom w:val="none" w:sz="0" w:space="0" w:color="auto"/>
        <w:right w:val="none" w:sz="0" w:space="0" w:color="auto"/>
      </w:divBdr>
    </w:div>
    <w:div w:id="511337091">
      <w:marLeft w:val="0"/>
      <w:marRight w:val="0"/>
      <w:marTop w:val="0"/>
      <w:marBottom w:val="0"/>
      <w:divBdr>
        <w:top w:val="none" w:sz="0" w:space="0" w:color="auto"/>
        <w:left w:val="none" w:sz="0" w:space="0" w:color="auto"/>
        <w:bottom w:val="none" w:sz="0" w:space="0" w:color="auto"/>
        <w:right w:val="none" w:sz="0" w:space="0" w:color="auto"/>
      </w:divBdr>
    </w:div>
    <w:div w:id="511337092">
      <w:marLeft w:val="0"/>
      <w:marRight w:val="0"/>
      <w:marTop w:val="0"/>
      <w:marBottom w:val="0"/>
      <w:divBdr>
        <w:top w:val="none" w:sz="0" w:space="0" w:color="auto"/>
        <w:left w:val="none" w:sz="0" w:space="0" w:color="auto"/>
        <w:bottom w:val="none" w:sz="0" w:space="0" w:color="auto"/>
        <w:right w:val="none" w:sz="0" w:space="0" w:color="auto"/>
      </w:divBdr>
    </w:div>
    <w:div w:id="511337093">
      <w:marLeft w:val="0"/>
      <w:marRight w:val="0"/>
      <w:marTop w:val="0"/>
      <w:marBottom w:val="0"/>
      <w:divBdr>
        <w:top w:val="none" w:sz="0" w:space="0" w:color="auto"/>
        <w:left w:val="none" w:sz="0" w:space="0" w:color="auto"/>
        <w:bottom w:val="none" w:sz="0" w:space="0" w:color="auto"/>
        <w:right w:val="none" w:sz="0" w:space="0" w:color="auto"/>
      </w:divBdr>
    </w:div>
    <w:div w:id="511337097">
      <w:marLeft w:val="0"/>
      <w:marRight w:val="0"/>
      <w:marTop w:val="0"/>
      <w:marBottom w:val="0"/>
      <w:divBdr>
        <w:top w:val="none" w:sz="0" w:space="0" w:color="auto"/>
        <w:left w:val="none" w:sz="0" w:space="0" w:color="auto"/>
        <w:bottom w:val="none" w:sz="0" w:space="0" w:color="auto"/>
        <w:right w:val="none" w:sz="0" w:space="0" w:color="auto"/>
      </w:divBdr>
    </w:div>
    <w:div w:id="511337103">
      <w:marLeft w:val="0"/>
      <w:marRight w:val="0"/>
      <w:marTop w:val="0"/>
      <w:marBottom w:val="0"/>
      <w:divBdr>
        <w:top w:val="none" w:sz="0" w:space="0" w:color="auto"/>
        <w:left w:val="none" w:sz="0" w:space="0" w:color="auto"/>
        <w:bottom w:val="none" w:sz="0" w:space="0" w:color="auto"/>
        <w:right w:val="none" w:sz="0" w:space="0" w:color="auto"/>
      </w:divBdr>
    </w:div>
    <w:div w:id="511337105">
      <w:marLeft w:val="0"/>
      <w:marRight w:val="0"/>
      <w:marTop w:val="0"/>
      <w:marBottom w:val="0"/>
      <w:divBdr>
        <w:top w:val="none" w:sz="0" w:space="0" w:color="auto"/>
        <w:left w:val="none" w:sz="0" w:space="0" w:color="auto"/>
        <w:bottom w:val="none" w:sz="0" w:space="0" w:color="auto"/>
        <w:right w:val="none" w:sz="0" w:space="0" w:color="auto"/>
      </w:divBdr>
    </w:div>
    <w:div w:id="511337108">
      <w:marLeft w:val="0"/>
      <w:marRight w:val="0"/>
      <w:marTop w:val="0"/>
      <w:marBottom w:val="0"/>
      <w:divBdr>
        <w:top w:val="none" w:sz="0" w:space="0" w:color="auto"/>
        <w:left w:val="none" w:sz="0" w:space="0" w:color="auto"/>
        <w:bottom w:val="none" w:sz="0" w:space="0" w:color="auto"/>
        <w:right w:val="none" w:sz="0" w:space="0" w:color="auto"/>
      </w:divBdr>
    </w:div>
    <w:div w:id="511337114">
      <w:marLeft w:val="0"/>
      <w:marRight w:val="0"/>
      <w:marTop w:val="0"/>
      <w:marBottom w:val="0"/>
      <w:divBdr>
        <w:top w:val="none" w:sz="0" w:space="0" w:color="auto"/>
        <w:left w:val="none" w:sz="0" w:space="0" w:color="auto"/>
        <w:bottom w:val="none" w:sz="0" w:space="0" w:color="auto"/>
        <w:right w:val="none" w:sz="0" w:space="0" w:color="auto"/>
      </w:divBdr>
      <w:divsChild>
        <w:div w:id="511337055">
          <w:marLeft w:val="0"/>
          <w:marRight w:val="0"/>
          <w:marTop w:val="0"/>
          <w:marBottom w:val="0"/>
          <w:divBdr>
            <w:top w:val="none" w:sz="0" w:space="0" w:color="auto"/>
            <w:left w:val="none" w:sz="0" w:space="0" w:color="auto"/>
            <w:bottom w:val="none" w:sz="0" w:space="0" w:color="auto"/>
            <w:right w:val="none" w:sz="0" w:space="0" w:color="auto"/>
          </w:divBdr>
          <w:divsChild>
            <w:div w:id="511337111">
              <w:marLeft w:val="0"/>
              <w:marRight w:val="0"/>
              <w:marTop w:val="0"/>
              <w:marBottom w:val="0"/>
              <w:divBdr>
                <w:top w:val="none" w:sz="0" w:space="0" w:color="auto"/>
                <w:left w:val="none" w:sz="0" w:space="0" w:color="auto"/>
                <w:bottom w:val="none" w:sz="0" w:space="0" w:color="auto"/>
                <w:right w:val="none" w:sz="0" w:space="0" w:color="auto"/>
              </w:divBdr>
              <w:divsChild>
                <w:div w:id="511337190">
                  <w:marLeft w:val="0"/>
                  <w:marRight w:val="0"/>
                  <w:marTop w:val="0"/>
                  <w:marBottom w:val="0"/>
                  <w:divBdr>
                    <w:top w:val="none" w:sz="0" w:space="0" w:color="auto"/>
                    <w:left w:val="none" w:sz="0" w:space="0" w:color="auto"/>
                    <w:bottom w:val="none" w:sz="0" w:space="0" w:color="auto"/>
                    <w:right w:val="none" w:sz="0" w:space="0" w:color="auto"/>
                  </w:divBdr>
                  <w:divsChild>
                    <w:div w:id="511337208">
                      <w:marLeft w:val="0"/>
                      <w:marRight w:val="0"/>
                      <w:marTop w:val="0"/>
                      <w:marBottom w:val="0"/>
                      <w:divBdr>
                        <w:top w:val="none" w:sz="0" w:space="0" w:color="auto"/>
                        <w:left w:val="single" w:sz="6" w:space="7" w:color="C4C4C4"/>
                        <w:bottom w:val="none" w:sz="0" w:space="0" w:color="auto"/>
                        <w:right w:val="single" w:sz="6" w:space="7" w:color="C4C4C4"/>
                      </w:divBdr>
                      <w:divsChild>
                        <w:div w:id="511337139">
                          <w:marLeft w:val="0"/>
                          <w:marRight w:val="0"/>
                          <w:marTop w:val="0"/>
                          <w:marBottom w:val="0"/>
                          <w:divBdr>
                            <w:top w:val="none" w:sz="0" w:space="0" w:color="auto"/>
                            <w:left w:val="none" w:sz="0" w:space="0" w:color="auto"/>
                            <w:bottom w:val="none" w:sz="0" w:space="0" w:color="auto"/>
                            <w:right w:val="none" w:sz="0" w:space="0" w:color="auto"/>
                          </w:divBdr>
                          <w:divsChild>
                            <w:div w:id="511337118">
                              <w:marLeft w:val="0"/>
                              <w:marRight w:val="0"/>
                              <w:marTop w:val="0"/>
                              <w:marBottom w:val="0"/>
                              <w:divBdr>
                                <w:top w:val="none" w:sz="0" w:space="0" w:color="auto"/>
                                <w:left w:val="none" w:sz="0" w:space="0" w:color="auto"/>
                                <w:bottom w:val="none" w:sz="0" w:space="0" w:color="auto"/>
                                <w:right w:val="none" w:sz="0" w:space="0" w:color="auto"/>
                              </w:divBdr>
                              <w:divsChild>
                                <w:div w:id="511337043">
                                  <w:marLeft w:val="0"/>
                                  <w:marRight w:val="0"/>
                                  <w:marTop w:val="0"/>
                                  <w:marBottom w:val="240"/>
                                  <w:divBdr>
                                    <w:top w:val="none" w:sz="0" w:space="0" w:color="auto"/>
                                    <w:left w:val="none" w:sz="0" w:space="0" w:color="auto"/>
                                    <w:bottom w:val="none" w:sz="0" w:space="0" w:color="auto"/>
                                    <w:right w:val="none" w:sz="0" w:space="0" w:color="auto"/>
                                  </w:divBdr>
                                  <w:divsChild>
                                    <w:div w:id="511337170">
                                      <w:marLeft w:val="0"/>
                                      <w:marRight w:val="0"/>
                                      <w:marTop w:val="0"/>
                                      <w:marBottom w:val="0"/>
                                      <w:divBdr>
                                        <w:top w:val="none" w:sz="0" w:space="0" w:color="auto"/>
                                        <w:left w:val="none" w:sz="0" w:space="0" w:color="auto"/>
                                        <w:bottom w:val="none" w:sz="0" w:space="0" w:color="auto"/>
                                        <w:right w:val="none" w:sz="0" w:space="0" w:color="auto"/>
                                      </w:divBdr>
                                      <w:divsChild>
                                        <w:div w:id="511337049">
                                          <w:marLeft w:val="0"/>
                                          <w:marRight w:val="0"/>
                                          <w:marTop w:val="0"/>
                                          <w:marBottom w:val="0"/>
                                          <w:divBdr>
                                            <w:top w:val="none" w:sz="0" w:space="0" w:color="auto"/>
                                            <w:left w:val="none" w:sz="0" w:space="0" w:color="auto"/>
                                            <w:bottom w:val="none" w:sz="0" w:space="0" w:color="auto"/>
                                            <w:right w:val="none" w:sz="0" w:space="0" w:color="auto"/>
                                          </w:divBdr>
                                          <w:divsChild>
                                            <w:div w:id="511337157">
                                              <w:marLeft w:val="0"/>
                                              <w:marRight w:val="0"/>
                                              <w:marTop w:val="0"/>
                                              <w:marBottom w:val="0"/>
                                              <w:divBdr>
                                                <w:top w:val="none" w:sz="0" w:space="0" w:color="auto"/>
                                                <w:left w:val="none" w:sz="0" w:space="0" w:color="auto"/>
                                                <w:bottom w:val="none" w:sz="0" w:space="0" w:color="auto"/>
                                                <w:right w:val="none" w:sz="0" w:space="0" w:color="auto"/>
                                              </w:divBdr>
                                              <w:divsChild>
                                                <w:div w:id="511337164">
                                                  <w:marLeft w:val="0"/>
                                                  <w:marRight w:val="0"/>
                                                  <w:marTop w:val="0"/>
                                                  <w:marBottom w:val="240"/>
                                                  <w:divBdr>
                                                    <w:top w:val="none" w:sz="0" w:space="0" w:color="auto"/>
                                                    <w:left w:val="none" w:sz="0" w:space="0" w:color="auto"/>
                                                    <w:bottom w:val="none" w:sz="0" w:space="0" w:color="auto"/>
                                                    <w:right w:val="none" w:sz="0" w:space="0" w:color="auto"/>
                                                  </w:divBdr>
                                                  <w:divsChild>
                                                    <w:div w:id="511337060">
                                                      <w:marLeft w:val="0"/>
                                                      <w:marRight w:val="0"/>
                                                      <w:marTop w:val="0"/>
                                                      <w:marBottom w:val="0"/>
                                                      <w:divBdr>
                                                        <w:top w:val="none" w:sz="0" w:space="0" w:color="auto"/>
                                                        <w:left w:val="none" w:sz="0" w:space="0" w:color="auto"/>
                                                        <w:bottom w:val="none" w:sz="0" w:space="0" w:color="auto"/>
                                                        <w:right w:val="none" w:sz="0" w:space="0" w:color="auto"/>
                                                      </w:divBdr>
                                                      <w:divsChild>
                                                        <w:div w:id="51133704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337120">
      <w:marLeft w:val="0"/>
      <w:marRight w:val="0"/>
      <w:marTop w:val="0"/>
      <w:marBottom w:val="0"/>
      <w:divBdr>
        <w:top w:val="none" w:sz="0" w:space="0" w:color="auto"/>
        <w:left w:val="none" w:sz="0" w:space="0" w:color="auto"/>
        <w:bottom w:val="none" w:sz="0" w:space="0" w:color="auto"/>
        <w:right w:val="none" w:sz="0" w:space="0" w:color="auto"/>
      </w:divBdr>
    </w:div>
    <w:div w:id="511337121">
      <w:marLeft w:val="0"/>
      <w:marRight w:val="0"/>
      <w:marTop w:val="0"/>
      <w:marBottom w:val="0"/>
      <w:divBdr>
        <w:top w:val="none" w:sz="0" w:space="0" w:color="auto"/>
        <w:left w:val="none" w:sz="0" w:space="0" w:color="auto"/>
        <w:bottom w:val="none" w:sz="0" w:space="0" w:color="auto"/>
        <w:right w:val="none" w:sz="0" w:space="0" w:color="auto"/>
      </w:divBdr>
    </w:div>
    <w:div w:id="511337123">
      <w:marLeft w:val="0"/>
      <w:marRight w:val="0"/>
      <w:marTop w:val="0"/>
      <w:marBottom w:val="0"/>
      <w:divBdr>
        <w:top w:val="none" w:sz="0" w:space="0" w:color="auto"/>
        <w:left w:val="none" w:sz="0" w:space="0" w:color="auto"/>
        <w:bottom w:val="none" w:sz="0" w:space="0" w:color="auto"/>
        <w:right w:val="none" w:sz="0" w:space="0" w:color="auto"/>
      </w:divBdr>
    </w:div>
    <w:div w:id="511337124">
      <w:marLeft w:val="0"/>
      <w:marRight w:val="0"/>
      <w:marTop w:val="0"/>
      <w:marBottom w:val="0"/>
      <w:divBdr>
        <w:top w:val="none" w:sz="0" w:space="0" w:color="auto"/>
        <w:left w:val="none" w:sz="0" w:space="0" w:color="auto"/>
        <w:bottom w:val="none" w:sz="0" w:space="0" w:color="auto"/>
        <w:right w:val="none" w:sz="0" w:space="0" w:color="auto"/>
      </w:divBdr>
    </w:div>
    <w:div w:id="511337127">
      <w:marLeft w:val="0"/>
      <w:marRight w:val="0"/>
      <w:marTop w:val="0"/>
      <w:marBottom w:val="0"/>
      <w:divBdr>
        <w:top w:val="none" w:sz="0" w:space="0" w:color="auto"/>
        <w:left w:val="none" w:sz="0" w:space="0" w:color="auto"/>
        <w:bottom w:val="none" w:sz="0" w:space="0" w:color="auto"/>
        <w:right w:val="none" w:sz="0" w:space="0" w:color="auto"/>
      </w:divBdr>
      <w:divsChild>
        <w:div w:id="511337176">
          <w:marLeft w:val="0"/>
          <w:marRight w:val="0"/>
          <w:marTop w:val="0"/>
          <w:marBottom w:val="0"/>
          <w:divBdr>
            <w:top w:val="none" w:sz="0" w:space="0" w:color="auto"/>
            <w:left w:val="none" w:sz="0" w:space="0" w:color="auto"/>
            <w:bottom w:val="none" w:sz="0" w:space="0" w:color="auto"/>
            <w:right w:val="none" w:sz="0" w:space="0" w:color="auto"/>
          </w:divBdr>
          <w:divsChild>
            <w:div w:id="511337088">
              <w:marLeft w:val="0"/>
              <w:marRight w:val="0"/>
              <w:marTop w:val="0"/>
              <w:marBottom w:val="0"/>
              <w:divBdr>
                <w:top w:val="none" w:sz="0" w:space="0" w:color="auto"/>
                <w:left w:val="none" w:sz="0" w:space="0" w:color="auto"/>
                <w:bottom w:val="none" w:sz="0" w:space="0" w:color="auto"/>
                <w:right w:val="none" w:sz="0" w:space="0" w:color="auto"/>
              </w:divBdr>
              <w:divsChild>
                <w:div w:id="511337050">
                  <w:marLeft w:val="0"/>
                  <w:marRight w:val="0"/>
                  <w:marTop w:val="0"/>
                  <w:marBottom w:val="0"/>
                  <w:divBdr>
                    <w:top w:val="none" w:sz="0" w:space="0" w:color="auto"/>
                    <w:left w:val="none" w:sz="0" w:space="0" w:color="auto"/>
                    <w:bottom w:val="none" w:sz="0" w:space="0" w:color="auto"/>
                    <w:right w:val="none" w:sz="0" w:space="0" w:color="auto"/>
                  </w:divBdr>
                  <w:divsChild>
                    <w:div w:id="511337166">
                      <w:marLeft w:val="0"/>
                      <w:marRight w:val="0"/>
                      <w:marTop w:val="0"/>
                      <w:marBottom w:val="0"/>
                      <w:divBdr>
                        <w:top w:val="none" w:sz="0" w:space="0" w:color="auto"/>
                        <w:left w:val="single" w:sz="6" w:space="7" w:color="C4C4C4"/>
                        <w:bottom w:val="none" w:sz="0" w:space="0" w:color="auto"/>
                        <w:right w:val="single" w:sz="6" w:space="7" w:color="C4C4C4"/>
                      </w:divBdr>
                      <w:divsChild>
                        <w:div w:id="511337112">
                          <w:marLeft w:val="0"/>
                          <w:marRight w:val="0"/>
                          <w:marTop w:val="0"/>
                          <w:marBottom w:val="0"/>
                          <w:divBdr>
                            <w:top w:val="none" w:sz="0" w:space="0" w:color="auto"/>
                            <w:left w:val="none" w:sz="0" w:space="0" w:color="auto"/>
                            <w:bottom w:val="none" w:sz="0" w:space="0" w:color="auto"/>
                            <w:right w:val="none" w:sz="0" w:space="0" w:color="auto"/>
                          </w:divBdr>
                          <w:divsChild>
                            <w:div w:id="511337153">
                              <w:marLeft w:val="0"/>
                              <w:marRight w:val="0"/>
                              <w:marTop w:val="0"/>
                              <w:marBottom w:val="0"/>
                              <w:divBdr>
                                <w:top w:val="none" w:sz="0" w:space="0" w:color="auto"/>
                                <w:left w:val="none" w:sz="0" w:space="0" w:color="auto"/>
                                <w:bottom w:val="none" w:sz="0" w:space="0" w:color="auto"/>
                                <w:right w:val="none" w:sz="0" w:space="0" w:color="auto"/>
                              </w:divBdr>
                              <w:divsChild>
                                <w:div w:id="511337183">
                                  <w:marLeft w:val="0"/>
                                  <w:marRight w:val="0"/>
                                  <w:marTop w:val="0"/>
                                  <w:marBottom w:val="0"/>
                                  <w:divBdr>
                                    <w:top w:val="none" w:sz="0" w:space="0" w:color="auto"/>
                                    <w:left w:val="none" w:sz="0" w:space="0" w:color="auto"/>
                                    <w:bottom w:val="none" w:sz="0" w:space="0" w:color="auto"/>
                                    <w:right w:val="none" w:sz="0" w:space="0" w:color="auto"/>
                                  </w:divBdr>
                                  <w:divsChild>
                                    <w:div w:id="511337072">
                                      <w:marLeft w:val="0"/>
                                      <w:marRight w:val="0"/>
                                      <w:marTop w:val="0"/>
                                      <w:marBottom w:val="0"/>
                                      <w:divBdr>
                                        <w:top w:val="none" w:sz="0" w:space="0" w:color="auto"/>
                                        <w:left w:val="none" w:sz="0" w:space="0" w:color="auto"/>
                                        <w:bottom w:val="none" w:sz="0" w:space="0" w:color="auto"/>
                                        <w:right w:val="none" w:sz="0" w:space="0" w:color="auto"/>
                                      </w:divBdr>
                                      <w:divsChild>
                                        <w:div w:id="511337116">
                                          <w:marLeft w:val="0"/>
                                          <w:marRight w:val="0"/>
                                          <w:marTop w:val="0"/>
                                          <w:marBottom w:val="0"/>
                                          <w:divBdr>
                                            <w:top w:val="none" w:sz="0" w:space="0" w:color="auto"/>
                                            <w:left w:val="none" w:sz="0" w:space="0" w:color="auto"/>
                                            <w:bottom w:val="none" w:sz="0" w:space="0" w:color="auto"/>
                                            <w:right w:val="none" w:sz="0" w:space="0" w:color="auto"/>
                                          </w:divBdr>
                                          <w:divsChild>
                                            <w:div w:id="5113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337129">
      <w:marLeft w:val="0"/>
      <w:marRight w:val="0"/>
      <w:marTop w:val="0"/>
      <w:marBottom w:val="0"/>
      <w:divBdr>
        <w:top w:val="none" w:sz="0" w:space="0" w:color="auto"/>
        <w:left w:val="none" w:sz="0" w:space="0" w:color="auto"/>
        <w:bottom w:val="none" w:sz="0" w:space="0" w:color="auto"/>
        <w:right w:val="none" w:sz="0" w:space="0" w:color="auto"/>
      </w:divBdr>
    </w:div>
    <w:div w:id="511337138">
      <w:marLeft w:val="0"/>
      <w:marRight w:val="0"/>
      <w:marTop w:val="0"/>
      <w:marBottom w:val="0"/>
      <w:divBdr>
        <w:top w:val="none" w:sz="0" w:space="0" w:color="auto"/>
        <w:left w:val="none" w:sz="0" w:space="0" w:color="auto"/>
        <w:bottom w:val="none" w:sz="0" w:space="0" w:color="auto"/>
        <w:right w:val="none" w:sz="0" w:space="0" w:color="auto"/>
      </w:divBdr>
      <w:divsChild>
        <w:div w:id="511337179">
          <w:marLeft w:val="0"/>
          <w:marRight w:val="0"/>
          <w:marTop w:val="0"/>
          <w:marBottom w:val="0"/>
          <w:divBdr>
            <w:top w:val="none" w:sz="0" w:space="0" w:color="auto"/>
            <w:left w:val="none" w:sz="0" w:space="0" w:color="auto"/>
            <w:bottom w:val="none" w:sz="0" w:space="0" w:color="auto"/>
            <w:right w:val="none" w:sz="0" w:space="0" w:color="auto"/>
          </w:divBdr>
          <w:divsChild>
            <w:div w:id="511337195">
              <w:marLeft w:val="0"/>
              <w:marRight w:val="0"/>
              <w:marTop w:val="0"/>
              <w:marBottom w:val="0"/>
              <w:divBdr>
                <w:top w:val="none" w:sz="0" w:space="0" w:color="auto"/>
                <w:left w:val="none" w:sz="0" w:space="0" w:color="auto"/>
                <w:bottom w:val="none" w:sz="0" w:space="0" w:color="auto"/>
                <w:right w:val="none" w:sz="0" w:space="0" w:color="auto"/>
              </w:divBdr>
              <w:divsChild>
                <w:div w:id="511337131">
                  <w:marLeft w:val="0"/>
                  <w:marRight w:val="0"/>
                  <w:marTop w:val="0"/>
                  <w:marBottom w:val="0"/>
                  <w:divBdr>
                    <w:top w:val="none" w:sz="0" w:space="0" w:color="auto"/>
                    <w:left w:val="none" w:sz="0" w:space="0" w:color="auto"/>
                    <w:bottom w:val="none" w:sz="0" w:space="0" w:color="auto"/>
                    <w:right w:val="none" w:sz="0" w:space="0" w:color="auto"/>
                  </w:divBdr>
                  <w:divsChild>
                    <w:div w:id="511337071">
                      <w:marLeft w:val="0"/>
                      <w:marRight w:val="0"/>
                      <w:marTop w:val="0"/>
                      <w:marBottom w:val="0"/>
                      <w:divBdr>
                        <w:top w:val="none" w:sz="0" w:space="0" w:color="auto"/>
                        <w:left w:val="single" w:sz="6" w:space="7" w:color="C4C4C4"/>
                        <w:bottom w:val="none" w:sz="0" w:space="0" w:color="auto"/>
                        <w:right w:val="single" w:sz="6" w:space="7" w:color="C4C4C4"/>
                      </w:divBdr>
                      <w:divsChild>
                        <w:div w:id="511337115">
                          <w:marLeft w:val="0"/>
                          <w:marRight w:val="0"/>
                          <w:marTop w:val="0"/>
                          <w:marBottom w:val="0"/>
                          <w:divBdr>
                            <w:top w:val="none" w:sz="0" w:space="0" w:color="auto"/>
                            <w:left w:val="none" w:sz="0" w:space="0" w:color="auto"/>
                            <w:bottom w:val="none" w:sz="0" w:space="0" w:color="auto"/>
                            <w:right w:val="none" w:sz="0" w:space="0" w:color="auto"/>
                          </w:divBdr>
                          <w:divsChild>
                            <w:div w:id="511337063">
                              <w:marLeft w:val="0"/>
                              <w:marRight w:val="0"/>
                              <w:marTop w:val="0"/>
                              <w:marBottom w:val="0"/>
                              <w:divBdr>
                                <w:top w:val="none" w:sz="0" w:space="0" w:color="auto"/>
                                <w:left w:val="none" w:sz="0" w:space="0" w:color="auto"/>
                                <w:bottom w:val="none" w:sz="0" w:space="0" w:color="auto"/>
                                <w:right w:val="none" w:sz="0" w:space="0" w:color="auto"/>
                              </w:divBdr>
                              <w:divsChild>
                                <w:div w:id="511337196">
                                  <w:marLeft w:val="0"/>
                                  <w:marRight w:val="0"/>
                                  <w:marTop w:val="0"/>
                                  <w:marBottom w:val="240"/>
                                  <w:divBdr>
                                    <w:top w:val="none" w:sz="0" w:space="0" w:color="auto"/>
                                    <w:left w:val="none" w:sz="0" w:space="0" w:color="auto"/>
                                    <w:bottom w:val="none" w:sz="0" w:space="0" w:color="auto"/>
                                    <w:right w:val="none" w:sz="0" w:space="0" w:color="auto"/>
                                  </w:divBdr>
                                  <w:divsChild>
                                    <w:div w:id="511337052">
                                      <w:marLeft w:val="0"/>
                                      <w:marRight w:val="0"/>
                                      <w:marTop w:val="0"/>
                                      <w:marBottom w:val="0"/>
                                      <w:divBdr>
                                        <w:top w:val="none" w:sz="0" w:space="0" w:color="auto"/>
                                        <w:left w:val="none" w:sz="0" w:space="0" w:color="auto"/>
                                        <w:bottom w:val="none" w:sz="0" w:space="0" w:color="auto"/>
                                        <w:right w:val="none" w:sz="0" w:space="0" w:color="auto"/>
                                      </w:divBdr>
                                      <w:divsChild>
                                        <w:div w:id="511337068">
                                          <w:marLeft w:val="0"/>
                                          <w:marRight w:val="0"/>
                                          <w:marTop w:val="0"/>
                                          <w:marBottom w:val="0"/>
                                          <w:divBdr>
                                            <w:top w:val="none" w:sz="0" w:space="0" w:color="auto"/>
                                            <w:left w:val="none" w:sz="0" w:space="0" w:color="auto"/>
                                            <w:bottom w:val="none" w:sz="0" w:space="0" w:color="auto"/>
                                            <w:right w:val="none" w:sz="0" w:space="0" w:color="auto"/>
                                          </w:divBdr>
                                          <w:divsChild>
                                            <w:div w:id="511337133">
                                              <w:marLeft w:val="0"/>
                                              <w:marRight w:val="0"/>
                                              <w:marTop w:val="0"/>
                                              <w:marBottom w:val="0"/>
                                              <w:divBdr>
                                                <w:top w:val="none" w:sz="0" w:space="0" w:color="auto"/>
                                                <w:left w:val="none" w:sz="0" w:space="0" w:color="auto"/>
                                                <w:bottom w:val="none" w:sz="0" w:space="0" w:color="auto"/>
                                                <w:right w:val="none" w:sz="0" w:space="0" w:color="auto"/>
                                              </w:divBdr>
                                              <w:divsChild>
                                                <w:div w:id="511337161">
                                                  <w:marLeft w:val="0"/>
                                                  <w:marRight w:val="0"/>
                                                  <w:marTop w:val="0"/>
                                                  <w:marBottom w:val="240"/>
                                                  <w:divBdr>
                                                    <w:top w:val="none" w:sz="0" w:space="0" w:color="auto"/>
                                                    <w:left w:val="none" w:sz="0" w:space="0" w:color="auto"/>
                                                    <w:bottom w:val="none" w:sz="0" w:space="0" w:color="auto"/>
                                                    <w:right w:val="none" w:sz="0" w:space="0" w:color="auto"/>
                                                  </w:divBdr>
                                                  <w:divsChild>
                                                    <w:div w:id="511337062">
                                                      <w:marLeft w:val="0"/>
                                                      <w:marRight w:val="0"/>
                                                      <w:marTop w:val="0"/>
                                                      <w:marBottom w:val="0"/>
                                                      <w:divBdr>
                                                        <w:top w:val="none" w:sz="0" w:space="0" w:color="auto"/>
                                                        <w:left w:val="none" w:sz="0" w:space="0" w:color="auto"/>
                                                        <w:bottom w:val="none" w:sz="0" w:space="0" w:color="auto"/>
                                                        <w:right w:val="none" w:sz="0" w:space="0" w:color="auto"/>
                                                      </w:divBdr>
                                                      <w:divsChild>
                                                        <w:div w:id="511337045">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337141">
      <w:marLeft w:val="0"/>
      <w:marRight w:val="0"/>
      <w:marTop w:val="0"/>
      <w:marBottom w:val="0"/>
      <w:divBdr>
        <w:top w:val="none" w:sz="0" w:space="0" w:color="auto"/>
        <w:left w:val="none" w:sz="0" w:space="0" w:color="auto"/>
        <w:bottom w:val="none" w:sz="0" w:space="0" w:color="auto"/>
        <w:right w:val="none" w:sz="0" w:space="0" w:color="auto"/>
      </w:divBdr>
    </w:div>
    <w:div w:id="511337143">
      <w:marLeft w:val="0"/>
      <w:marRight w:val="0"/>
      <w:marTop w:val="0"/>
      <w:marBottom w:val="0"/>
      <w:divBdr>
        <w:top w:val="none" w:sz="0" w:space="0" w:color="auto"/>
        <w:left w:val="none" w:sz="0" w:space="0" w:color="auto"/>
        <w:bottom w:val="none" w:sz="0" w:space="0" w:color="auto"/>
        <w:right w:val="none" w:sz="0" w:space="0" w:color="auto"/>
      </w:divBdr>
      <w:divsChild>
        <w:div w:id="511337126">
          <w:marLeft w:val="0"/>
          <w:marRight w:val="0"/>
          <w:marTop w:val="0"/>
          <w:marBottom w:val="0"/>
          <w:divBdr>
            <w:top w:val="none" w:sz="0" w:space="0" w:color="auto"/>
            <w:left w:val="none" w:sz="0" w:space="0" w:color="auto"/>
            <w:bottom w:val="none" w:sz="0" w:space="0" w:color="auto"/>
            <w:right w:val="none" w:sz="0" w:space="0" w:color="auto"/>
          </w:divBdr>
          <w:divsChild>
            <w:div w:id="511337095">
              <w:marLeft w:val="0"/>
              <w:marRight w:val="0"/>
              <w:marTop w:val="0"/>
              <w:marBottom w:val="0"/>
              <w:divBdr>
                <w:top w:val="none" w:sz="0" w:space="0" w:color="auto"/>
                <w:left w:val="none" w:sz="0" w:space="0" w:color="auto"/>
                <w:bottom w:val="none" w:sz="0" w:space="0" w:color="auto"/>
                <w:right w:val="none" w:sz="0" w:space="0" w:color="auto"/>
              </w:divBdr>
              <w:divsChild>
                <w:div w:id="511337077">
                  <w:marLeft w:val="0"/>
                  <w:marRight w:val="0"/>
                  <w:marTop w:val="0"/>
                  <w:marBottom w:val="0"/>
                  <w:divBdr>
                    <w:top w:val="none" w:sz="0" w:space="0" w:color="auto"/>
                    <w:left w:val="none" w:sz="0" w:space="0" w:color="auto"/>
                    <w:bottom w:val="none" w:sz="0" w:space="0" w:color="auto"/>
                    <w:right w:val="none" w:sz="0" w:space="0" w:color="auto"/>
                  </w:divBdr>
                  <w:divsChild>
                    <w:div w:id="511337160">
                      <w:marLeft w:val="0"/>
                      <w:marRight w:val="0"/>
                      <w:marTop w:val="0"/>
                      <w:marBottom w:val="0"/>
                      <w:divBdr>
                        <w:top w:val="none" w:sz="0" w:space="0" w:color="auto"/>
                        <w:left w:val="single" w:sz="6" w:space="7" w:color="C4C4C4"/>
                        <w:bottom w:val="none" w:sz="0" w:space="0" w:color="auto"/>
                        <w:right w:val="single" w:sz="6" w:space="7" w:color="C4C4C4"/>
                      </w:divBdr>
                      <w:divsChild>
                        <w:div w:id="511337113">
                          <w:marLeft w:val="0"/>
                          <w:marRight w:val="0"/>
                          <w:marTop w:val="0"/>
                          <w:marBottom w:val="0"/>
                          <w:divBdr>
                            <w:top w:val="none" w:sz="0" w:space="0" w:color="auto"/>
                            <w:left w:val="none" w:sz="0" w:space="0" w:color="auto"/>
                            <w:bottom w:val="none" w:sz="0" w:space="0" w:color="auto"/>
                            <w:right w:val="none" w:sz="0" w:space="0" w:color="auto"/>
                          </w:divBdr>
                          <w:divsChild>
                            <w:div w:id="511337207">
                              <w:marLeft w:val="0"/>
                              <w:marRight w:val="0"/>
                              <w:marTop w:val="0"/>
                              <w:marBottom w:val="0"/>
                              <w:divBdr>
                                <w:top w:val="none" w:sz="0" w:space="0" w:color="auto"/>
                                <w:left w:val="none" w:sz="0" w:space="0" w:color="auto"/>
                                <w:bottom w:val="none" w:sz="0" w:space="0" w:color="auto"/>
                                <w:right w:val="none" w:sz="0" w:space="0" w:color="auto"/>
                              </w:divBdr>
                              <w:divsChild>
                                <w:div w:id="511337140">
                                  <w:marLeft w:val="0"/>
                                  <w:marRight w:val="0"/>
                                  <w:marTop w:val="0"/>
                                  <w:marBottom w:val="240"/>
                                  <w:divBdr>
                                    <w:top w:val="none" w:sz="0" w:space="0" w:color="auto"/>
                                    <w:left w:val="none" w:sz="0" w:space="0" w:color="auto"/>
                                    <w:bottom w:val="none" w:sz="0" w:space="0" w:color="auto"/>
                                    <w:right w:val="none" w:sz="0" w:space="0" w:color="auto"/>
                                  </w:divBdr>
                                  <w:divsChild>
                                    <w:div w:id="511337119">
                                      <w:marLeft w:val="0"/>
                                      <w:marRight w:val="0"/>
                                      <w:marTop w:val="0"/>
                                      <w:marBottom w:val="0"/>
                                      <w:divBdr>
                                        <w:top w:val="none" w:sz="0" w:space="0" w:color="auto"/>
                                        <w:left w:val="none" w:sz="0" w:space="0" w:color="auto"/>
                                        <w:bottom w:val="none" w:sz="0" w:space="0" w:color="auto"/>
                                        <w:right w:val="none" w:sz="0" w:space="0" w:color="auto"/>
                                      </w:divBdr>
                                      <w:divsChild>
                                        <w:div w:id="511337117">
                                          <w:marLeft w:val="0"/>
                                          <w:marRight w:val="0"/>
                                          <w:marTop w:val="0"/>
                                          <w:marBottom w:val="0"/>
                                          <w:divBdr>
                                            <w:top w:val="none" w:sz="0" w:space="0" w:color="auto"/>
                                            <w:left w:val="none" w:sz="0" w:space="0" w:color="auto"/>
                                            <w:bottom w:val="none" w:sz="0" w:space="0" w:color="auto"/>
                                            <w:right w:val="none" w:sz="0" w:space="0" w:color="auto"/>
                                          </w:divBdr>
                                          <w:divsChild>
                                            <w:div w:id="511337148">
                                              <w:marLeft w:val="0"/>
                                              <w:marRight w:val="0"/>
                                              <w:marTop w:val="0"/>
                                              <w:marBottom w:val="0"/>
                                              <w:divBdr>
                                                <w:top w:val="none" w:sz="0" w:space="0" w:color="auto"/>
                                                <w:left w:val="none" w:sz="0" w:space="0" w:color="auto"/>
                                                <w:bottom w:val="none" w:sz="0" w:space="0" w:color="auto"/>
                                                <w:right w:val="none" w:sz="0" w:space="0" w:color="auto"/>
                                              </w:divBdr>
                                              <w:divsChild>
                                                <w:div w:id="511337200">
                                                  <w:marLeft w:val="0"/>
                                                  <w:marRight w:val="0"/>
                                                  <w:marTop w:val="0"/>
                                                  <w:marBottom w:val="0"/>
                                                  <w:divBdr>
                                                    <w:top w:val="none" w:sz="0" w:space="0" w:color="auto"/>
                                                    <w:left w:val="none" w:sz="0" w:space="0" w:color="auto"/>
                                                    <w:bottom w:val="none" w:sz="0" w:space="0" w:color="auto"/>
                                                    <w:right w:val="none" w:sz="0" w:space="0" w:color="auto"/>
                                                  </w:divBdr>
                                                  <w:divsChild>
                                                    <w:div w:id="5113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337144">
      <w:marLeft w:val="0"/>
      <w:marRight w:val="0"/>
      <w:marTop w:val="0"/>
      <w:marBottom w:val="0"/>
      <w:divBdr>
        <w:top w:val="none" w:sz="0" w:space="0" w:color="auto"/>
        <w:left w:val="none" w:sz="0" w:space="0" w:color="auto"/>
        <w:bottom w:val="none" w:sz="0" w:space="0" w:color="auto"/>
        <w:right w:val="none" w:sz="0" w:space="0" w:color="auto"/>
      </w:divBdr>
      <w:divsChild>
        <w:div w:id="511337106">
          <w:marLeft w:val="0"/>
          <w:marRight w:val="0"/>
          <w:marTop w:val="0"/>
          <w:marBottom w:val="0"/>
          <w:divBdr>
            <w:top w:val="none" w:sz="0" w:space="0" w:color="auto"/>
            <w:left w:val="none" w:sz="0" w:space="0" w:color="auto"/>
            <w:bottom w:val="none" w:sz="0" w:space="0" w:color="auto"/>
            <w:right w:val="none" w:sz="0" w:space="0" w:color="auto"/>
          </w:divBdr>
          <w:divsChild>
            <w:div w:id="511337122">
              <w:marLeft w:val="0"/>
              <w:marRight w:val="0"/>
              <w:marTop w:val="0"/>
              <w:marBottom w:val="0"/>
              <w:divBdr>
                <w:top w:val="none" w:sz="0" w:space="0" w:color="auto"/>
                <w:left w:val="none" w:sz="0" w:space="0" w:color="auto"/>
                <w:bottom w:val="none" w:sz="0" w:space="0" w:color="auto"/>
                <w:right w:val="none" w:sz="0" w:space="0" w:color="auto"/>
              </w:divBdr>
              <w:divsChild>
                <w:div w:id="511337090">
                  <w:marLeft w:val="0"/>
                  <w:marRight w:val="0"/>
                  <w:marTop w:val="0"/>
                  <w:marBottom w:val="0"/>
                  <w:divBdr>
                    <w:top w:val="none" w:sz="0" w:space="0" w:color="auto"/>
                    <w:left w:val="none" w:sz="0" w:space="0" w:color="auto"/>
                    <w:bottom w:val="none" w:sz="0" w:space="0" w:color="auto"/>
                    <w:right w:val="none" w:sz="0" w:space="0" w:color="auto"/>
                  </w:divBdr>
                  <w:divsChild>
                    <w:div w:id="511337132">
                      <w:marLeft w:val="0"/>
                      <w:marRight w:val="0"/>
                      <w:marTop w:val="0"/>
                      <w:marBottom w:val="0"/>
                      <w:divBdr>
                        <w:top w:val="none" w:sz="0" w:space="0" w:color="auto"/>
                        <w:left w:val="single" w:sz="6" w:space="7" w:color="C4C4C4"/>
                        <w:bottom w:val="none" w:sz="0" w:space="0" w:color="auto"/>
                        <w:right w:val="single" w:sz="6" w:space="7" w:color="C4C4C4"/>
                      </w:divBdr>
                      <w:divsChild>
                        <w:div w:id="511337056">
                          <w:marLeft w:val="0"/>
                          <w:marRight w:val="0"/>
                          <w:marTop w:val="0"/>
                          <w:marBottom w:val="0"/>
                          <w:divBdr>
                            <w:top w:val="none" w:sz="0" w:space="0" w:color="auto"/>
                            <w:left w:val="none" w:sz="0" w:space="0" w:color="auto"/>
                            <w:bottom w:val="none" w:sz="0" w:space="0" w:color="auto"/>
                            <w:right w:val="none" w:sz="0" w:space="0" w:color="auto"/>
                          </w:divBdr>
                          <w:divsChild>
                            <w:div w:id="511337065">
                              <w:marLeft w:val="0"/>
                              <w:marRight w:val="0"/>
                              <w:marTop w:val="0"/>
                              <w:marBottom w:val="0"/>
                              <w:divBdr>
                                <w:top w:val="none" w:sz="0" w:space="0" w:color="auto"/>
                                <w:left w:val="none" w:sz="0" w:space="0" w:color="auto"/>
                                <w:bottom w:val="none" w:sz="0" w:space="0" w:color="auto"/>
                                <w:right w:val="none" w:sz="0" w:space="0" w:color="auto"/>
                              </w:divBdr>
                              <w:divsChild>
                                <w:div w:id="511337142">
                                  <w:marLeft w:val="0"/>
                                  <w:marRight w:val="0"/>
                                  <w:marTop w:val="0"/>
                                  <w:marBottom w:val="0"/>
                                  <w:divBdr>
                                    <w:top w:val="none" w:sz="0" w:space="0" w:color="auto"/>
                                    <w:left w:val="none" w:sz="0" w:space="0" w:color="auto"/>
                                    <w:bottom w:val="none" w:sz="0" w:space="0" w:color="auto"/>
                                    <w:right w:val="none" w:sz="0" w:space="0" w:color="auto"/>
                                  </w:divBdr>
                                  <w:divsChild>
                                    <w:div w:id="511337149">
                                      <w:marLeft w:val="0"/>
                                      <w:marRight w:val="0"/>
                                      <w:marTop w:val="0"/>
                                      <w:marBottom w:val="0"/>
                                      <w:divBdr>
                                        <w:top w:val="none" w:sz="0" w:space="0" w:color="auto"/>
                                        <w:left w:val="none" w:sz="0" w:space="0" w:color="auto"/>
                                        <w:bottom w:val="none" w:sz="0" w:space="0" w:color="auto"/>
                                        <w:right w:val="none" w:sz="0" w:space="0" w:color="auto"/>
                                      </w:divBdr>
                                      <w:divsChild>
                                        <w:div w:id="511337182">
                                          <w:marLeft w:val="0"/>
                                          <w:marRight w:val="0"/>
                                          <w:marTop w:val="0"/>
                                          <w:marBottom w:val="0"/>
                                          <w:divBdr>
                                            <w:top w:val="none" w:sz="0" w:space="0" w:color="auto"/>
                                            <w:left w:val="none" w:sz="0" w:space="0" w:color="auto"/>
                                            <w:bottom w:val="none" w:sz="0" w:space="0" w:color="auto"/>
                                            <w:right w:val="none" w:sz="0" w:space="0" w:color="auto"/>
                                          </w:divBdr>
                                          <w:divsChild>
                                            <w:div w:id="5113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337147">
      <w:marLeft w:val="0"/>
      <w:marRight w:val="0"/>
      <w:marTop w:val="0"/>
      <w:marBottom w:val="0"/>
      <w:divBdr>
        <w:top w:val="none" w:sz="0" w:space="0" w:color="auto"/>
        <w:left w:val="none" w:sz="0" w:space="0" w:color="auto"/>
        <w:bottom w:val="none" w:sz="0" w:space="0" w:color="auto"/>
        <w:right w:val="none" w:sz="0" w:space="0" w:color="auto"/>
      </w:divBdr>
      <w:divsChild>
        <w:div w:id="511337083">
          <w:marLeft w:val="0"/>
          <w:marRight w:val="0"/>
          <w:marTop w:val="0"/>
          <w:marBottom w:val="0"/>
          <w:divBdr>
            <w:top w:val="none" w:sz="0" w:space="0" w:color="auto"/>
            <w:left w:val="none" w:sz="0" w:space="0" w:color="auto"/>
            <w:bottom w:val="none" w:sz="0" w:space="0" w:color="auto"/>
            <w:right w:val="none" w:sz="0" w:space="0" w:color="auto"/>
          </w:divBdr>
          <w:divsChild>
            <w:div w:id="511337135">
              <w:marLeft w:val="0"/>
              <w:marRight w:val="0"/>
              <w:marTop w:val="0"/>
              <w:marBottom w:val="0"/>
              <w:divBdr>
                <w:top w:val="none" w:sz="0" w:space="0" w:color="auto"/>
                <w:left w:val="none" w:sz="0" w:space="0" w:color="auto"/>
                <w:bottom w:val="none" w:sz="0" w:space="0" w:color="auto"/>
                <w:right w:val="none" w:sz="0" w:space="0" w:color="auto"/>
              </w:divBdr>
              <w:divsChild>
                <w:div w:id="511337178">
                  <w:marLeft w:val="0"/>
                  <w:marRight w:val="0"/>
                  <w:marTop w:val="0"/>
                  <w:marBottom w:val="0"/>
                  <w:divBdr>
                    <w:top w:val="none" w:sz="0" w:space="0" w:color="auto"/>
                    <w:left w:val="none" w:sz="0" w:space="0" w:color="auto"/>
                    <w:bottom w:val="none" w:sz="0" w:space="0" w:color="auto"/>
                    <w:right w:val="none" w:sz="0" w:space="0" w:color="auto"/>
                  </w:divBdr>
                  <w:divsChild>
                    <w:div w:id="511337136">
                      <w:marLeft w:val="0"/>
                      <w:marRight w:val="0"/>
                      <w:marTop w:val="0"/>
                      <w:marBottom w:val="0"/>
                      <w:divBdr>
                        <w:top w:val="none" w:sz="0" w:space="0" w:color="auto"/>
                        <w:left w:val="none" w:sz="0" w:space="0" w:color="auto"/>
                        <w:bottom w:val="none" w:sz="0" w:space="0" w:color="auto"/>
                        <w:right w:val="none" w:sz="0" w:space="0" w:color="auto"/>
                      </w:divBdr>
                      <w:divsChild>
                        <w:div w:id="511337046">
                          <w:marLeft w:val="0"/>
                          <w:marRight w:val="0"/>
                          <w:marTop w:val="0"/>
                          <w:marBottom w:val="0"/>
                          <w:divBdr>
                            <w:top w:val="none" w:sz="0" w:space="0" w:color="auto"/>
                            <w:left w:val="none" w:sz="0" w:space="0" w:color="auto"/>
                            <w:bottom w:val="none" w:sz="0" w:space="0" w:color="auto"/>
                            <w:right w:val="none" w:sz="0" w:space="0" w:color="auto"/>
                          </w:divBdr>
                          <w:divsChild>
                            <w:div w:id="511337168">
                              <w:marLeft w:val="0"/>
                              <w:marRight w:val="0"/>
                              <w:marTop w:val="0"/>
                              <w:marBottom w:val="0"/>
                              <w:divBdr>
                                <w:top w:val="none" w:sz="0" w:space="0" w:color="auto"/>
                                <w:left w:val="none" w:sz="0" w:space="0" w:color="auto"/>
                                <w:bottom w:val="none" w:sz="0" w:space="0" w:color="auto"/>
                                <w:right w:val="none" w:sz="0" w:space="0" w:color="auto"/>
                              </w:divBdr>
                              <w:divsChild>
                                <w:div w:id="511337210">
                                  <w:marLeft w:val="0"/>
                                  <w:marRight w:val="0"/>
                                  <w:marTop w:val="0"/>
                                  <w:marBottom w:val="240"/>
                                  <w:divBdr>
                                    <w:top w:val="none" w:sz="0" w:space="0" w:color="auto"/>
                                    <w:left w:val="none" w:sz="0" w:space="0" w:color="auto"/>
                                    <w:bottom w:val="none" w:sz="0" w:space="0" w:color="auto"/>
                                    <w:right w:val="none" w:sz="0" w:space="0" w:color="auto"/>
                                  </w:divBdr>
                                  <w:divsChild>
                                    <w:div w:id="511337181">
                                      <w:marLeft w:val="0"/>
                                      <w:marRight w:val="0"/>
                                      <w:marTop w:val="0"/>
                                      <w:marBottom w:val="0"/>
                                      <w:divBdr>
                                        <w:top w:val="none" w:sz="0" w:space="0" w:color="auto"/>
                                        <w:left w:val="none" w:sz="0" w:space="0" w:color="auto"/>
                                        <w:bottom w:val="none" w:sz="0" w:space="0" w:color="auto"/>
                                        <w:right w:val="none" w:sz="0" w:space="0" w:color="auto"/>
                                      </w:divBdr>
                                      <w:divsChild>
                                        <w:div w:id="511337102">
                                          <w:marLeft w:val="0"/>
                                          <w:marRight w:val="0"/>
                                          <w:marTop w:val="0"/>
                                          <w:marBottom w:val="0"/>
                                          <w:divBdr>
                                            <w:top w:val="none" w:sz="0" w:space="0" w:color="auto"/>
                                            <w:left w:val="none" w:sz="0" w:space="0" w:color="auto"/>
                                            <w:bottom w:val="none" w:sz="0" w:space="0" w:color="auto"/>
                                            <w:right w:val="none" w:sz="0" w:space="0" w:color="auto"/>
                                          </w:divBdr>
                                          <w:divsChild>
                                            <w:div w:id="511337155">
                                              <w:marLeft w:val="0"/>
                                              <w:marRight w:val="0"/>
                                              <w:marTop w:val="0"/>
                                              <w:marBottom w:val="0"/>
                                              <w:divBdr>
                                                <w:top w:val="none" w:sz="0" w:space="0" w:color="auto"/>
                                                <w:left w:val="none" w:sz="0" w:space="0" w:color="auto"/>
                                                <w:bottom w:val="none" w:sz="0" w:space="0" w:color="auto"/>
                                                <w:right w:val="none" w:sz="0" w:space="0" w:color="auto"/>
                                              </w:divBdr>
                                              <w:divsChild>
                                                <w:div w:id="511337109">
                                                  <w:marLeft w:val="0"/>
                                                  <w:marRight w:val="0"/>
                                                  <w:marTop w:val="0"/>
                                                  <w:marBottom w:val="240"/>
                                                  <w:divBdr>
                                                    <w:top w:val="none" w:sz="0" w:space="0" w:color="auto"/>
                                                    <w:left w:val="none" w:sz="0" w:space="0" w:color="auto"/>
                                                    <w:bottom w:val="none" w:sz="0" w:space="0" w:color="auto"/>
                                                    <w:right w:val="none" w:sz="0" w:space="0" w:color="auto"/>
                                                  </w:divBdr>
                                                  <w:divsChild>
                                                    <w:div w:id="511337059">
                                                      <w:marLeft w:val="0"/>
                                                      <w:marRight w:val="0"/>
                                                      <w:marTop w:val="0"/>
                                                      <w:marBottom w:val="0"/>
                                                      <w:divBdr>
                                                        <w:top w:val="none" w:sz="0" w:space="0" w:color="auto"/>
                                                        <w:left w:val="none" w:sz="0" w:space="0" w:color="auto"/>
                                                        <w:bottom w:val="none" w:sz="0" w:space="0" w:color="auto"/>
                                                        <w:right w:val="none" w:sz="0" w:space="0" w:color="auto"/>
                                                      </w:divBdr>
                                                      <w:divsChild>
                                                        <w:div w:id="511337203">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337152">
      <w:marLeft w:val="0"/>
      <w:marRight w:val="0"/>
      <w:marTop w:val="0"/>
      <w:marBottom w:val="0"/>
      <w:divBdr>
        <w:top w:val="none" w:sz="0" w:space="0" w:color="auto"/>
        <w:left w:val="none" w:sz="0" w:space="0" w:color="auto"/>
        <w:bottom w:val="none" w:sz="0" w:space="0" w:color="auto"/>
        <w:right w:val="none" w:sz="0" w:space="0" w:color="auto"/>
      </w:divBdr>
    </w:div>
    <w:div w:id="511337159">
      <w:marLeft w:val="0"/>
      <w:marRight w:val="0"/>
      <w:marTop w:val="0"/>
      <w:marBottom w:val="0"/>
      <w:divBdr>
        <w:top w:val="none" w:sz="0" w:space="0" w:color="auto"/>
        <w:left w:val="none" w:sz="0" w:space="0" w:color="auto"/>
        <w:bottom w:val="none" w:sz="0" w:space="0" w:color="auto"/>
        <w:right w:val="none" w:sz="0" w:space="0" w:color="auto"/>
      </w:divBdr>
    </w:div>
    <w:div w:id="511337162">
      <w:marLeft w:val="0"/>
      <w:marRight w:val="0"/>
      <w:marTop w:val="0"/>
      <w:marBottom w:val="0"/>
      <w:divBdr>
        <w:top w:val="none" w:sz="0" w:space="0" w:color="auto"/>
        <w:left w:val="none" w:sz="0" w:space="0" w:color="auto"/>
        <w:bottom w:val="none" w:sz="0" w:space="0" w:color="auto"/>
        <w:right w:val="none" w:sz="0" w:space="0" w:color="auto"/>
      </w:divBdr>
    </w:div>
    <w:div w:id="511337163">
      <w:marLeft w:val="0"/>
      <w:marRight w:val="0"/>
      <w:marTop w:val="0"/>
      <w:marBottom w:val="0"/>
      <w:divBdr>
        <w:top w:val="none" w:sz="0" w:space="0" w:color="auto"/>
        <w:left w:val="none" w:sz="0" w:space="0" w:color="auto"/>
        <w:bottom w:val="none" w:sz="0" w:space="0" w:color="auto"/>
        <w:right w:val="none" w:sz="0" w:space="0" w:color="auto"/>
      </w:divBdr>
    </w:div>
    <w:div w:id="511337172">
      <w:marLeft w:val="0"/>
      <w:marRight w:val="0"/>
      <w:marTop w:val="0"/>
      <w:marBottom w:val="0"/>
      <w:divBdr>
        <w:top w:val="none" w:sz="0" w:space="0" w:color="auto"/>
        <w:left w:val="none" w:sz="0" w:space="0" w:color="auto"/>
        <w:bottom w:val="none" w:sz="0" w:space="0" w:color="auto"/>
        <w:right w:val="none" w:sz="0" w:space="0" w:color="auto"/>
      </w:divBdr>
      <w:divsChild>
        <w:div w:id="511337199">
          <w:marLeft w:val="0"/>
          <w:marRight w:val="0"/>
          <w:marTop w:val="0"/>
          <w:marBottom w:val="0"/>
          <w:divBdr>
            <w:top w:val="none" w:sz="0" w:space="0" w:color="auto"/>
            <w:left w:val="none" w:sz="0" w:space="0" w:color="auto"/>
            <w:bottom w:val="none" w:sz="0" w:space="0" w:color="auto"/>
            <w:right w:val="none" w:sz="0" w:space="0" w:color="auto"/>
          </w:divBdr>
          <w:divsChild>
            <w:div w:id="511337084">
              <w:marLeft w:val="0"/>
              <w:marRight w:val="0"/>
              <w:marTop w:val="0"/>
              <w:marBottom w:val="0"/>
              <w:divBdr>
                <w:top w:val="none" w:sz="0" w:space="0" w:color="auto"/>
                <w:left w:val="none" w:sz="0" w:space="0" w:color="auto"/>
                <w:bottom w:val="none" w:sz="0" w:space="0" w:color="auto"/>
                <w:right w:val="none" w:sz="0" w:space="0" w:color="auto"/>
              </w:divBdr>
              <w:divsChild>
                <w:div w:id="511337104">
                  <w:marLeft w:val="0"/>
                  <w:marRight w:val="0"/>
                  <w:marTop w:val="0"/>
                  <w:marBottom w:val="0"/>
                  <w:divBdr>
                    <w:top w:val="none" w:sz="0" w:space="0" w:color="auto"/>
                    <w:left w:val="none" w:sz="0" w:space="0" w:color="auto"/>
                    <w:bottom w:val="none" w:sz="0" w:space="0" w:color="auto"/>
                    <w:right w:val="none" w:sz="0" w:space="0" w:color="auto"/>
                  </w:divBdr>
                  <w:divsChild>
                    <w:div w:id="511337100">
                      <w:marLeft w:val="0"/>
                      <w:marRight w:val="0"/>
                      <w:marTop w:val="0"/>
                      <w:marBottom w:val="0"/>
                      <w:divBdr>
                        <w:top w:val="none" w:sz="0" w:space="0" w:color="auto"/>
                        <w:left w:val="single" w:sz="6" w:space="7" w:color="C4C4C4"/>
                        <w:bottom w:val="none" w:sz="0" w:space="0" w:color="auto"/>
                        <w:right w:val="single" w:sz="6" w:space="7" w:color="C4C4C4"/>
                      </w:divBdr>
                      <w:divsChild>
                        <w:div w:id="511337165">
                          <w:marLeft w:val="0"/>
                          <w:marRight w:val="0"/>
                          <w:marTop w:val="0"/>
                          <w:marBottom w:val="0"/>
                          <w:divBdr>
                            <w:top w:val="none" w:sz="0" w:space="0" w:color="auto"/>
                            <w:left w:val="none" w:sz="0" w:space="0" w:color="auto"/>
                            <w:bottom w:val="none" w:sz="0" w:space="0" w:color="auto"/>
                            <w:right w:val="none" w:sz="0" w:space="0" w:color="auto"/>
                          </w:divBdr>
                          <w:divsChild>
                            <w:div w:id="511337156">
                              <w:marLeft w:val="0"/>
                              <w:marRight w:val="0"/>
                              <w:marTop w:val="0"/>
                              <w:marBottom w:val="0"/>
                              <w:divBdr>
                                <w:top w:val="none" w:sz="0" w:space="0" w:color="auto"/>
                                <w:left w:val="none" w:sz="0" w:space="0" w:color="auto"/>
                                <w:bottom w:val="none" w:sz="0" w:space="0" w:color="auto"/>
                                <w:right w:val="none" w:sz="0" w:space="0" w:color="auto"/>
                              </w:divBdr>
                              <w:divsChild>
                                <w:div w:id="511337041">
                                  <w:marLeft w:val="0"/>
                                  <w:marRight w:val="0"/>
                                  <w:marTop w:val="0"/>
                                  <w:marBottom w:val="240"/>
                                  <w:divBdr>
                                    <w:top w:val="none" w:sz="0" w:space="0" w:color="auto"/>
                                    <w:left w:val="none" w:sz="0" w:space="0" w:color="auto"/>
                                    <w:bottom w:val="none" w:sz="0" w:space="0" w:color="auto"/>
                                    <w:right w:val="none" w:sz="0" w:space="0" w:color="auto"/>
                                  </w:divBdr>
                                  <w:divsChild>
                                    <w:div w:id="511337110">
                                      <w:marLeft w:val="0"/>
                                      <w:marRight w:val="0"/>
                                      <w:marTop w:val="0"/>
                                      <w:marBottom w:val="0"/>
                                      <w:divBdr>
                                        <w:top w:val="none" w:sz="0" w:space="0" w:color="auto"/>
                                        <w:left w:val="none" w:sz="0" w:space="0" w:color="auto"/>
                                        <w:bottom w:val="none" w:sz="0" w:space="0" w:color="auto"/>
                                        <w:right w:val="none" w:sz="0" w:space="0" w:color="auto"/>
                                      </w:divBdr>
                                      <w:divsChild>
                                        <w:div w:id="511337073">
                                          <w:marLeft w:val="0"/>
                                          <w:marRight w:val="0"/>
                                          <w:marTop w:val="0"/>
                                          <w:marBottom w:val="0"/>
                                          <w:divBdr>
                                            <w:top w:val="none" w:sz="0" w:space="0" w:color="auto"/>
                                            <w:left w:val="none" w:sz="0" w:space="0" w:color="auto"/>
                                            <w:bottom w:val="none" w:sz="0" w:space="0" w:color="auto"/>
                                            <w:right w:val="none" w:sz="0" w:space="0" w:color="auto"/>
                                          </w:divBdr>
                                          <w:divsChild>
                                            <w:div w:id="511337154">
                                              <w:marLeft w:val="0"/>
                                              <w:marRight w:val="0"/>
                                              <w:marTop w:val="0"/>
                                              <w:marBottom w:val="0"/>
                                              <w:divBdr>
                                                <w:top w:val="none" w:sz="0" w:space="0" w:color="auto"/>
                                                <w:left w:val="none" w:sz="0" w:space="0" w:color="auto"/>
                                                <w:bottom w:val="none" w:sz="0" w:space="0" w:color="auto"/>
                                                <w:right w:val="none" w:sz="0" w:space="0" w:color="auto"/>
                                              </w:divBdr>
                                              <w:divsChild>
                                                <w:div w:id="511337206">
                                                  <w:marLeft w:val="0"/>
                                                  <w:marRight w:val="0"/>
                                                  <w:marTop w:val="0"/>
                                                  <w:marBottom w:val="240"/>
                                                  <w:divBdr>
                                                    <w:top w:val="none" w:sz="0" w:space="0" w:color="auto"/>
                                                    <w:left w:val="none" w:sz="0" w:space="0" w:color="auto"/>
                                                    <w:bottom w:val="none" w:sz="0" w:space="0" w:color="auto"/>
                                                    <w:right w:val="none" w:sz="0" w:space="0" w:color="auto"/>
                                                  </w:divBdr>
                                                  <w:divsChild>
                                                    <w:div w:id="511337180">
                                                      <w:marLeft w:val="0"/>
                                                      <w:marRight w:val="0"/>
                                                      <w:marTop w:val="0"/>
                                                      <w:marBottom w:val="0"/>
                                                      <w:divBdr>
                                                        <w:top w:val="none" w:sz="0" w:space="0" w:color="auto"/>
                                                        <w:left w:val="none" w:sz="0" w:space="0" w:color="auto"/>
                                                        <w:bottom w:val="none" w:sz="0" w:space="0" w:color="auto"/>
                                                        <w:right w:val="none" w:sz="0" w:space="0" w:color="auto"/>
                                                      </w:divBdr>
                                                      <w:divsChild>
                                                        <w:div w:id="511337175">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337184">
      <w:marLeft w:val="0"/>
      <w:marRight w:val="0"/>
      <w:marTop w:val="0"/>
      <w:marBottom w:val="0"/>
      <w:divBdr>
        <w:top w:val="none" w:sz="0" w:space="0" w:color="auto"/>
        <w:left w:val="none" w:sz="0" w:space="0" w:color="auto"/>
        <w:bottom w:val="none" w:sz="0" w:space="0" w:color="auto"/>
        <w:right w:val="none" w:sz="0" w:space="0" w:color="auto"/>
      </w:divBdr>
    </w:div>
    <w:div w:id="511337185">
      <w:marLeft w:val="0"/>
      <w:marRight w:val="0"/>
      <w:marTop w:val="0"/>
      <w:marBottom w:val="0"/>
      <w:divBdr>
        <w:top w:val="none" w:sz="0" w:space="0" w:color="auto"/>
        <w:left w:val="none" w:sz="0" w:space="0" w:color="auto"/>
        <w:bottom w:val="none" w:sz="0" w:space="0" w:color="auto"/>
        <w:right w:val="none" w:sz="0" w:space="0" w:color="auto"/>
      </w:divBdr>
    </w:div>
    <w:div w:id="511337187">
      <w:marLeft w:val="0"/>
      <w:marRight w:val="0"/>
      <w:marTop w:val="0"/>
      <w:marBottom w:val="0"/>
      <w:divBdr>
        <w:top w:val="none" w:sz="0" w:space="0" w:color="auto"/>
        <w:left w:val="none" w:sz="0" w:space="0" w:color="auto"/>
        <w:bottom w:val="none" w:sz="0" w:space="0" w:color="auto"/>
        <w:right w:val="none" w:sz="0" w:space="0" w:color="auto"/>
      </w:divBdr>
    </w:div>
    <w:div w:id="511337189">
      <w:marLeft w:val="0"/>
      <w:marRight w:val="0"/>
      <w:marTop w:val="0"/>
      <w:marBottom w:val="0"/>
      <w:divBdr>
        <w:top w:val="none" w:sz="0" w:space="0" w:color="auto"/>
        <w:left w:val="none" w:sz="0" w:space="0" w:color="auto"/>
        <w:bottom w:val="none" w:sz="0" w:space="0" w:color="auto"/>
        <w:right w:val="none" w:sz="0" w:space="0" w:color="auto"/>
      </w:divBdr>
    </w:div>
    <w:div w:id="511337191">
      <w:marLeft w:val="0"/>
      <w:marRight w:val="0"/>
      <w:marTop w:val="0"/>
      <w:marBottom w:val="0"/>
      <w:divBdr>
        <w:top w:val="none" w:sz="0" w:space="0" w:color="auto"/>
        <w:left w:val="none" w:sz="0" w:space="0" w:color="auto"/>
        <w:bottom w:val="none" w:sz="0" w:space="0" w:color="auto"/>
        <w:right w:val="none" w:sz="0" w:space="0" w:color="auto"/>
      </w:divBdr>
    </w:div>
    <w:div w:id="511337193">
      <w:marLeft w:val="0"/>
      <w:marRight w:val="0"/>
      <w:marTop w:val="0"/>
      <w:marBottom w:val="0"/>
      <w:divBdr>
        <w:top w:val="none" w:sz="0" w:space="0" w:color="auto"/>
        <w:left w:val="none" w:sz="0" w:space="0" w:color="auto"/>
        <w:bottom w:val="none" w:sz="0" w:space="0" w:color="auto"/>
        <w:right w:val="none" w:sz="0" w:space="0" w:color="auto"/>
      </w:divBdr>
    </w:div>
    <w:div w:id="511337194">
      <w:marLeft w:val="0"/>
      <w:marRight w:val="0"/>
      <w:marTop w:val="0"/>
      <w:marBottom w:val="0"/>
      <w:divBdr>
        <w:top w:val="none" w:sz="0" w:space="0" w:color="auto"/>
        <w:left w:val="none" w:sz="0" w:space="0" w:color="auto"/>
        <w:bottom w:val="none" w:sz="0" w:space="0" w:color="auto"/>
        <w:right w:val="none" w:sz="0" w:space="0" w:color="auto"/>
      </w:divBdr>
    </w:div>
    <w:div w:id="511337197">
      <w:marLeft w:val="0"/>
      <w:marRight w:val="0"/>
      <w:marTop w:val="0"/>
      <w:marBottom w:val="0"/>
      <w:divBdr>
        <w:top w:val="none" w:sz="0" w:space="0" w:color="auto"/>
        <w:left w:val="none" w:sz="0" w:space="0" w:color="auto"/>
        <w:bottom w:val="none" w:sz="0" w:space="0" w:color="auto"/>
        <w:right w:val="none" w:sz="0" w:space="0" w:color="auto"/>
      </w:divBdr>
    </w:div>
    <w:div w:id="511337201">
      <w:marLeft w:val="0"/>
      <w:marRight w:val="0"/>
      <w:marTop w:val="0"/>
      <w:marBottom w:val="0"/>
      <w:divBdr>
        <w:top w:val="none" w:sz="0" w:space="0" w:color="auto"/>
        <w:left w:val="none" w:sz="0" w:space="0" w:color="auto"/>
        <w:bottom w:val="none" w:sz="0" w:space="0" w:color="auto"/>
        <w:right w:val="none" w:sz="0" w:space="0" w:color="auto"/>
      </w:divBdr>
      <w:divsChild>
        <w:div w:id="511337130">
          <w:marLeft w:val="0"/>
          <w:marRight w:val="0"/>
          <w:marTop w:val="0"/>
          <w:marBottom w:val="0"/>
          <w:divBdr>
            <w:top w:val="none" w:sz="0" w:space="0" w:color="auto"/>
            <w:left w:val="none" w:sz="0" w:space="0" w:color="auto"/>
            <w:bottom w:val="none" w:sz="0" w:space="0" w:color="auto"/>
            <w:right w:val="none" w:sz="0" w:space="0" w:color="auto"/>
          </w:divBdr>
          <w:divsChild>
            <w:div w:id="511337096">
              <w:marLeft w:val="0"/>
              <w:marRight w:val="0"/>
              <w:marTop w:val="0"/>
              <w:marBottom w:val="0"/>
              <w:divBdr>
                <w:top w:val="none" w:sz="0" w:space="0" w:color="auto"/>
                <w:left w:val="none" w:sz="0" w:space="0" w:color="auto"/>
                <w:bottom w:val="none" w:sz="0" w:space="0" w:color="auto"/>
                <w:right w:val="none" w:sz="0" w:space="0" w:color="auto"/>
              </w:divBdr>
              <w:divsChild>
                <w:div w:id="511337158">
                  <w:marLeft w:val="0"/>
                  <w:marRight w:val="0"/>
                  <w:marTop w:val="0"/>
                  <w:marBottom w:val="0"/>
                  <w:divBdr>
                    <w:top w:val="none" w:sz="0" w:space="0" w:color="auto"/>
                    <w:left w:val="none" w:sz="0" w:space="0" w:color="auto"/>
                    <w:bottom w:val="none" w:sz="0" w:space="0" w:color="auto"/>
                    <w:right w:val="none" w:sz="0" w:space="0" w:color="auto"/>
                  </w:divBdr>
                  <w:divsChild>
                    <w:div w:id="511337192">
                      <w:marLeft w:val="0"/>
                      <w:marRight w:val="0"/>
                      <w:marTop w:val="0"/>
                      <w:marBottom w:val="0"/>
                      <w:divBdr>
                        <w:top w:val="none" w:sz="0" w:space="0" w:color="auto"/>
                        <w:left w:val="single" w:sz="6" w:space="7" w:color="C4C4C4"/>
                        <w:bottom w:val="none" w:sz="0" w:space="0" w:color="auto"/>
                        <w:right w:val="single" w:sz="6" w:space="7" w:color="C4C4C4"/>
                      </w:divBdr>
                      <w:divsChild>
                        <w:div w:id="511337188">
                          <w:marLeft w:val="0"/>
                          <w:marRight w:val="0"/>
                          <w:marTop w:val="0"/>
                          <w:marBottom w:val="0"/>
                          <w:divBdr>
                            <w:top w:val="none" w:sz="0" w:space="0" w:color="auto"/>
                            <w:left w:val="none" w:sz="0" w:space="0" w:color="auto"/>
                            <w:bottom w:val="none" w:sz="0" w:space="0" w:color="auto"/>
                            <w:right w:val="none" w:sz="0" w:space="0" w:color="auto"/>
                          </w:divBdr>
                          <w:divsChild>
                            <w:div w:id="511337137">
                              <w:marLeft w:val="0"/>
                              <w:marRight w:val="0"/>
                              <w:marTop w:val="0"/>
                              <w:marBottom w:val="0"/>
                              <w:divBdr>
                                <w:top w:val="none" w:sz="0" w:space="0" w:color="auto"/>
                                <w:left w:val="none" w:sz="0" w:space="0" w:color="auto"/>
                                <w:bottom w:val="none" w:sz="0" w:space="0" w:color="auto"/>
                                <w:right w:val="none" w:sz="0" w:space="0" w:color="auto"/>
                              </w:divBdr>
                              <w:divsChild>
                                <w:div w:id="511337107">
                                  <w:marLeft w:val="0"/>
                                  <w:marRight w:val="0"/>
                                  <w:marTop w:val="0"/>
                                  <w:marBottom w:val="0"/>
                                  <w:divBdr>
                                    <w:top w:val="none" w:sz="0" w:space="0" w:color="auto"/>
                                    <w:left w:val="none" w:sz="0" w:space="0" w:color="auto"/>
                                    <w:bottom w:val="none" w:sz="0" w:space="0" w:color="auto"/>
                                    <w:right w:val="none" w:sz="0" w:space="0" w:color="auto"/>
                                  </w:divBdr>
                                  <w:divsChild>
                                    <w:div w:id="511337171">
                                      <w:marLeft w:val="0"/>
                                      <w:marRight w:val="0"/>
                                      <w:marTop w:val="0"/>
                                      <w:marBottom w:val="0"/>
                                      <w:divBdr>
                                        <w:top w:val="none" w:sz="0" w:space="0" w:color="auto"/>
                                        <w:left w:val="none" w:sz="0" w:space="0" w:color="auto"/>
                                        <w:bottom w:val="none" w:sz="0" w:space="0" w:color="auto"/>
                                        <w:right w:val="none" w:sz="0" w:space="0" w:color="auto"/>
                                      </w:divBdr>
                                      <w:divsChild>
                                        <w:div w:id="511337186">
                                          <w:marLeft w:val="0"/>
                                          <w:marRight w:val="0"/>
                                          <w:marTop w:val="0"/>
                                          <w:marBottom w:val="0"/>
                                          <w:divBdr>
                                            <w:top w:val="none" w:sz="0" w:space="0" w:color="auto"/>
                                            <w:left w:val="none" w:sz="0" w:space="0" w:color="auto"/>
                                            <w:bottom w:val="none" w:sz="0" w:space="0" w:color="auto"/>
                                            <w:right w:val="none" w:sz="0" w:space="0" w:color="auto"/>
                                          </w:divBdr>
                                          <w:divsChild>
                                            <w:div w:id="5113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337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26B8-3847-4D54-A5DF-37A72D48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7111</Words>
  <Characters>38994</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Guidelines</vt:lpstr>
    </vt:vector>
  </TitlesOfParts>
  <Company>TRA</Company>
  <LinksUpToDate>false</LinksUpToDate>
  <CharactersWithSpaces>46013</CharactersWithSpaces>
  <SharedDoc>false</SharedDoc>
  <HLinks>
    <vt:vector size="6" baseType="variant">
      <vt:variant>
        <vt:i4>6357032</vt:i4>
      </vt:variant>
      <vt:variant>
        <vt:i4>3</vt:i4>
      </vt:variant>
      <vt:variant>
        <vt:i4>0</vt:i4>
      </vt:variant>
      <vt:variant>
        <vt:i4>5</vt:i4>
      </vt:variant>
      <vt:variant>
        <vt:lpwstr>http://www.tra.gov.ae/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LOGJ1</dc:creator>
  <cp:keywords/>
  <dc:description/>
  <cp:lastModifiedBy>stephen.nelson</cp:lastModifiedBy>
  <cp:revision>7</cp:revision>
  <cp:lastPrinted>2010-09-26T09:10:00Z</cp:lastPrinted>
  <dcterms:created xsi:type="dcterms:W3CDTF">2010-09-26T09:10:00Z</dcterms:created>
  <dcterms:modified xsi:type="dcterms:W3CDTF">2010-10-04T12:54:00Z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FWProfile">
    <vt:lpwstr>26385059 v1</vt:lpwstr>
  </property>
</Properties>
</file>