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3B" w:rsidRDefault="00333D3B"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Default="00EC636A" w:rsidP="00D261ED">
      <w:pPr>
        <w:suppressAutoHyphens/>
        <w:jc w:val="both"/>
        <w:rPr>
          <w:rFonts w:asciiTheme="majorBidi" w:hAnsiTheme="majorBidi" w:cstheme="majorBidi"/>
        </w:rPr>
      </w:pPr>
    </w:p>
    <w:p w:rsidR="00EC636A" w:rsidRPr="006C5DF2" w:rsidRDefault="00EC636A" w:rsidP="00D261ED">
      <w:pPr>
        <w:suppressAutoHyphens/>
        <w:jc w:val="both"/>
        <w:rPr>
          <w:rFonts w:asciiTheme="majorBidi" w:hAnsiTheme="majorBidi" w:cstheme="majorBidi"/>
        </w:rPr>
      </w:pPr>
    </w:p>
    <w:p w:rsidR="00333D3B" w:rsidRPr="006C5DF2" w:rsidRDefault="00333D3B" w:rsidP="00D261ED">
      <w:pPr>
        <w:suppressAutoHyphens/>
        <w:jc w:val="both"/>
        <w:rPr>
          <w:rFonts w:asciiTheme="majorBidi" w:hAnsiTheme="majorBidi" w:cstheme="majorBidi"/>
        </w:rPr>
      </w:pPr>
    </w:p>
    <w:tbl>
      <w:tblPr>
        <w:tblW w:w="0" w:type="auto"/>
        <w:tblLook w:val="0000"/>
      </w:tblPr>
      <w:tblGrid>
        <w:gridCol w:w="8677"/>
      </w:tblGrid>
      <w:tr w:rsidR="002F5B6B" w:rsidRPr="00925077" w:rsidTr="00C90B02">
        <w:trPr>
          <w:cantSplit/>
        </w:trPr>
        <w:tc>
          <w:tcPr>
            <w:tcW w:w="8677" w:type="dxa"/>
            <w:tcBorders>
              <w:bottom w:val="single" w:sz="36" w:space="0" w:color="auto"/>
            </w:tcBorders>
          </w:tcPr>
          <w:p w:rsidR="002F5B6B" w:rsidRPr="00925077" w:rsidRDefault="002F5B6B" w:rsidP="00D261ED">
            <w:pPr>
              <w:pStyle w:val="Header"/>
              <w:tabs>
                <w:tab w:val="clear" w:pos="4320"/>
                <w:tab w:val="clear" w:pos="8640"/>
              </w:tabs>
              <w:suppressAutoHyphens/>
              <w:jc w:val="both"/>
            </w:pPr>
          </w:p>
        </w:tc>
      </w:tr>
      <w:tr w:rsidR="002F5B6B" w:rsidRPr="00925077" w:rsidTr="00C90B02">
        <w:trPr>
          <w:cantSplit/>
          <w:trHeight w:val="1064"/>
        </w:trPr>
        <w:tc>
          <w:tcPr>
            <w:tcW w:w="8677" w:type="dxa"/>
            <w:tcBorders>
              <w:top w:val="single" w:sz="36" w:space="0" w:color="auto"/>
              <w:bottom w:val="single" w:sz="36" w:space="0" w:color="auto"/>
            </w:tcBorders>
          </w:tcPr>
          <w:p w:rsidR="00865142" w:rsidRDefault="00865142" w:rsidP="00D261ED">
            <w:pPr>
              <w:pStyle w:val="Header"/>
              <w:tabs>
                <w:tab w:val="clear" w:pos="4320"/>
                <w:tab w:val="clear" w:pos="8640"/>
              </w:tabs>
              <w:suppressAutoHyphens/>
              <w:jc w:val="center"/>
              <w:rPr>
                <w:b/>
              </w:rPr>
            </w:pPr>
          </w:p>
          <w:p w:rsidR="00865142" w:rsidRDefault="002F5B6B" w:rsidP="00E26CF5">
            <w:pPr>
              <w:pStyle w:val="Header"/>
              <w:tabs>
                <w:tab w:val="clear" w:pos="4320"/>
                <w:tab w:val="clear" w:pos="8640"/>
              </w:tabs>
              <w:suppressAutoHyphens/>
              <w:jc w:val="center"/>
              <w:rPr>
                <w:b/>
                <w:sz w:val="44"/>
                <w:szCs w:val="44"/>
              </w:rPr>
            </w:pPr>
            <w:r>
              <w:rPr>
                <w:b/>
                <w:sz w:val="44"/>
                <w:szCs w:val="44"/>
              </w:rPr>
              <w:t>D</w:t>
            </w:r>
            <w:r w:rsidR="00444A69">
              <w:rPr>
                <w:b/>
                <w:sz w:val="44"/>
                <w:szCs w:val="44"/>
              </w:rPr>
              <w:t>ETERMINATION NO (</w:t>
            </w:r>
            <w:r w:rsidR="00E26CF5">
              <w:rPr>
                <w:b/>
                <w:sz w:val="44"/>
                <w:szCs w:val="44"/>
              </w:rPr>
              <w:t>1</w:t>
            </w:r>
            <w:r w:rsidR="00444A69">
              <w:rPr>
                <w:b/>
                <w:sz w:val="44"/>
                <w:szCs w:val="44"/>
              </w:rPr>
              <w:t>) OF 201</w:t>
            </w:r>
            <w:r w:rsidR="00E26CF5">
              <w:rPr>
                <w:b/>
                <w:sz w:val="44"/>
                <w:szCs w:val="44"/>
              </w:rPr>
              <w:t>1</w:t>
            </w:r>
          </w:p>
          <w:p w:rsidR="00865142" w:rsidRDefault="00865142" w:rsidP="00D261ED">
            <w:pPr>
              <w:pStyle w:val="Header"/>
              <w:tabs>
                <w:tab w:val="clear" w:pos="4320"/>
                <w:tab w:val="clear" w:pos="8640"/>
              </w:tabs>
              <w:suppressAutoHyphens/>
              <w:jc w:val="center"/>
              <w:rPr>
                <w:b/>
                <w:sz w:val="44"/>
                <w:szCs w:val="44"/>
              </w:rPr>
            </w:pPr>
          </w:p>
        </w:tc>
      </w:tr>
      <w:tr w:rsidR="002F5B6B" w:rsidRPr="00925077" w:rsidTr="00C90B02">
        <w:trPr>
          <w:cantSplit/>
          <w:trHeight w:val="1485"/>
        </w:trPr>
        <w:tc>
          <w:tcPr>
            <w:tcW w:w="8677" w:type="dxa"/>
            <w:tcBorders>
              <w:top w:val="single" w:sz="36" w:space="0" w:color="auto"/>
            </w:tcBorders>
          </w:tcPr>
          <w:p w:rsidR="009E2E22" w:rsidRDefault="009E2E22" w:rsidP="00D261ED">
            <w:pPr>
              <w:pStyle w:val="Header"/>
              <w:tabs>
                <w:tab w:val="clear" w:pos="4320"/>
                <w:tab w:val="clear" w:pos="8640"/>
              </w:tabs>
              <w:suppressAutoHyphens/>
              <w:jc w:val="center"/>
              <w:rPr>
                <w:b/>
                <w:bCs/>
              </w:rPr>
            </w:pPr>
          </w:p>
          <w:p w:rsidR="009E2E22" w:rsidRDefault="009E2E22" w:rsidP="00D261ED">
            <w:pPr>
              <w:pStyle w:val="Header"/>
              <w:tabs>
                <w:tab w:val="clear" w:pos="4320"/>
                <w:tab w:val="clear" w:pos="8640"/>
              </w:tabs>
              <w:suppressAutoHyphens/>
              <w:jc w:val="center"/>
              <w:rPr>
                <w:b/>
                <w:bCs/>
              </w:rPr>
            </w:pPr>
          </w:p>
          <w:p w:rsidR="00865142" w:rsidRDefault="00D239EB" w:rsidP="00D261ED">
            <w:pPr>
              <w:pStyle w:val="Header"/>
              <w:tabs>
                <w:tab w:val="clear" w:pos="4320"/>
                <w:tab w:val="clear" w:pos="8640"/>
              </w:tabs>
              <w:suppressAutoHyphens/>
              <w:jc w:val="center"/>
              <w:rPr>
                <w:b/>
                <w:sz w:val="40"/>
                <w:szCs w:val="40"/>
              </w:rPr>
            </w:pPr>
            <w:r>
              <w:rPr>
                <w:b/>
                <w:sz w:val="40"/>
                <w:szCs w:val="40"/>
              </w:rPr>
              <w:t>Relevant Markets for Telecommunication Services and Related Products in the UAE</w:t>
            </w:r>
          </w:p>
        </w:tc>
      </w:tr>
      <w:tr w:rsidR="002F5B6B" w:rsidRPr="00925077" w:rsidTr="00C90B02">
        <w:trPr>
          <w:cantSplit/>
          <w:trHeight w:val="405"/>
        </w:trPr>
        <w:tc>
          <w:tcPr>
            <w:tcW w:w="8677" w:type="dxa"/>
          </w:tcPr>
          <w:p w:rsidR="00865142" w:rsidRDefault="00865142" w:rsidP="00D261ED">
            <w:pPr>
              <w:pStyle w:val="Header"/>
              <w:tabs>
                <w:tab w:val="clear" w:pos="4320"/>
                <w:tab w:val="clear" w:pos="8640"/>
              </w:tabs>
              <w:suppressAutoHyphens/>
              <w:jc w:val="center"/>
            </w:pPr>
          </w:p>
          <w:p w:rsidR="00865142" w:rsidRDefault="00865142" w:rsidP="00D261ED">
            <w:pPr>
              <w:pStyle w:val="Header"/>
              <w:tabs>
                <w:tab w:val="clear" w:pos="4320"/>
                <w:tab w:val="clear" w:pos="8640"/>
              </w:tabs>
              <w:suppressAutoHyphens/>
              <w:jc w:val="center"/>
            </w:pPr>
          </w:p>
        </w:tc>
      </w:tr>
      <w:tr w:rsidR="002F5B6B" w:rsidRPr="00925077" w:rsidTr="00C90B02">
        <w:trPr>
          <w:cantSplit/>
          <w:trHeight w:val="1064"/>
        </w:trPr>
        <w:tc>
          <w:tcPr>
            <w:tcW w:w="8677" w:type="dxa"/>
            <w:tcBorders>
              <w:bottom w:val="single" w:sz="36" w:space="0" w:color="auto"/>
            </w:tcBorders>
          </w:tcPr>
          <w:p w:rsidR="00865142" w:rsidRDefault="00F4646D" w:rsidP="005F43C8">
            <w:pPr>
              <w:suppressAutoHyphens/>
              <w:jc w:val="center"/>
              <w:rPr>
                <w:b/>
              </w:rPr>
            </w:pPr>
            <w:r>
              <w:rPr>
                <w:b/>
              </w:rPr>
              <w:t xml:space="preserve">Issue </w:t>
            </w:r>
            <w:r w:rsidR="002F5B6B" w:rsidRPr="00925077">
              <w:rPr>
                <w:b/>
              </w:rPr>
              <w:t xml:space="preserve">Date:  </w:t>
            </w:r>
            <w:r w:rsidR="005F43C8">
              <w:rPr>
                <w:b/>
              </w:rPr>
              <w:t>23</w:t>
            </w:r>
            <w:r w:rsidR="00445634">
              <w:rPr>
                <w:b/>
              </w:rPr>
              <w:t xml:space="preserve"> </w:t>
            </w:r>
            <w:r w:rsidR="00F901F8">
              <w:rPr>
                <w:b/>
              </w:rPr>
              <w:t>January</w:t>
            </w:r>
            <w:r w:rsidR="00445634">
              <w:rPr>
                <w:b/>
              </w:rPr>
              <w:t xml:space="preserve"> </w:t>
            </w:r>
            <w:r w:rsidR="00444A69">
              <w:rPr>
                <w:b/>
              </w:rPr>
              <w:t>201</w:t>
            </w:r>
            <w:r w:rsidR="00F901F8">
              <w:rPr>
                <w:b/>
              </w:rPr>
              <w:t>1</w:t>
            </w:r>
          </w:p>
          <w:p w:rsidR="00865142" w:rsidRDefault="00865142" w:rsidP="00D261ED">
            <w:pPr>
              <w:suppressAutoHyphens/>
              <w:jc w:val="center"/>
              <w:rPr>
                <w:b/>
              </w:rPr>
            </w:pPr>
          </w:p>
          <w:p w:rsidR="003615F1" w:rsidRDefault="003615F1" w:rsidP="00D261ED">
            <w:pPr>
              <w:suppressAutoHyphens/>
              <w:jc w:val="center"/>
              <w:rPr>
                <w:b/>
              </w:rPr>
            </w:pPr>
          </w:p>
          <w:p w:rsidR="003615F1" w:rsidRDefault="003615F1" w:rsidP="00D261ED">
            <w:pPr>
              <w:suppressAutoHyphens/>
              <w:jc w:val="center"/>
              <w:rPr>
                <w:b/>
                <w:bCs/>
              </w:rPr>
            </w:pPr>
          </w:p>
        </w:tc>
      </w:tr>
    </w:tbl>
    <w:p w:rsidR="001F66B1" w:rsidRDefault="001F66B1" w:rsidP="00D261ED">
      <w:pPr>
        <w:suppressAutoHyphens/>
        <w:jc w:val="both"/>
        <w:outlineLvl w:val="0"/>
        <w:rPr>
          <w:rFonts w:asciiTheme="majorBidi" w:hAnsiTheme="majorBidi" w:cstheme="majorBidi"/>
          <w:b/>
          <w:bCs/>
        </w:rPr>
      </w:pPr>
    </w:p>
    <w:p w:rsidR="009E2E22" w:rsidRDefault="001F66B1" w:rsidP="00D261ED">
      <w:pPr>
        <w:suppressAutoHyphens/>
        <w:jc w:val="both"/>
        <w:rPr>
          <w:rFonts w:asciiTheme="majorBidi" w:hAnsiTheme="majorBidi" w:cstheme="majorBidi"/>
          <w:b/>
          <w:bCs/>
        </w:rPr>
      </w:pPr>
      <w:r>
        <w:rPr>
          <w:rFonts w:asciiTheme="majorBidi" w:hAnsiTheme="majorBidi" w:cstheme="majorBidi"/>
          <w:b/>
          <w:bCs/>
        </w:rPr>
        <w:br w:type="page"/>
      </w:r>
    </w:p>
    <w:p w:rsidR="00865142" w:rsidRDefault="00865142" w:rsidP="00D261ED">
      <w:pPr>
        <w:suppressAutoHyphens/>
        <w:jc w:val="both"/>
        <w:rPr>
          <w:b/>
          <w:highlight w:val="yellow"/>
        </w:rPr>
      </w:pPr>
    </w:p>
    <w:p w:rsidR="00865142" w:rsidRDefault="00865142" w:rsidP="00D261ED">
      <w:pPr>
        <w:suppressAutoHyphens/>
        <w:jc w:val="both"/>
        <w:outlineLvl w:val="0"/>
        <w:rPr>
          <w:rFonts w:asciiTheme="majorBidi" w:hAnsiTheme="majorBidi" w:cstheme="majorBidi"/>
          <w:b/>
          <w:bCs/>
        </w:rPr>
      </w:pPr>
    </w:p>
    <w:p w:rsidR="009E2E22" w:rsidRDefault="001F66B1" w:rsidP="00D261ED">
      <w:pPr>
        <w:suppressAutoHyphens/>
        <w:jc w:val="both"/>
        <w:rPr>
          <w:b/>
        </w:rPr>
      </w:pPr>
      <w:r w:rsidRPr="0055652E">
        <w:rPr>
          <w:b/>
        </w:rPr>
        <w:t>TABLE OF CONTENTS</w:t>
      </w:r>
    </w:p>
    <w:p w:rsidR="001F66B1" w:rsidRDefault="001F66B1" w:rsidP="00D261ED">
      <w:pPr>
        <w:suppressAutoHyphens/>
        <w:jc w:val="both"/>
        <w:rPr>
          <w:bCs/>
        </w:rPr>
      </w:pPr>
    </w:p>
    <w:p w:rsidR="00865142" w:rsidRDefault="00865142" w:rsidP="00D261ED">
      <w:pPr>
        <w:suppressAutoHyphens/>
        <w:jc w:val="both"/>
        <w:rPr>
          <w:bCs/>
        </w:rPr>
      </w:pPr>
    </w:p>
    <w:p w:rsidR="002855D2" w:rsidRDefault="007B1AE5">
      <w:pPr>
        <w:pStyle w:val="TOC1"/>
        <w:rPr>
          <w:rFonts w:asciiTheme="minorHAnsi" w:eastAsiaTheme="minorEastAsia" w:hAnsiTheme="minorHAnsi" w:cstheme="minorBidi"/>
          <w:b w:val="0"/>
          <w:bCs w:val="0"/>
          <w:sz w:val="22"/>
          <w:szCs w:val="22"/>
          <w:lang w:eastAsia="en-GB"/>
        </w:rPr>
      </w:pPr>
      <w:r w:rsidRPr="007B1AE5">
        <w:rPr>
          <w:b w:val="0"/>
          <w:bCs w:val="0"/>
        </w:rPr>
        <w:fldChar w:fldCharType="begin"/>
      </w:r>
      <w:r w:rsidR="001F66B1">
        <w:rPr>
          <w:b w:val="0"/>
          <w:bCs w:val="0"/>
        </w:rPr>
        <w:instrText xml:space="preserve"> TOC \t "Heading 1,1,Header 1.,1,Style2,1,Style3,1,Style4,1,Heading-1,1" </w:instrText>
      </w:r>
      <w:r w:rsidRPr="007B1AE5">
        <w:rPr>
          <w:b w:val="0"/>
          <w:bCs w:val="0"/>
        </w:rPr>
        <w:fldChar w:fldCharType="separate"/>
      </w:r>
      <w:r w:rsidR="002855D2" w:rsidRPr="00A8007F">
        <w:rPr>
          <w:bCs w:val="0"/>
        </w:rPr>
        <w:t>1.</w:t>
      </w:r>
      <w:r w:rsidR="002855D2">
        <w:rPr>
          <w:rFonts w:asciiTheme="minorHAnsi" w:eastAsiaTheme="minorEastAsia" w:hAnsiTheme="minorHAnsi" w:cstheme="minorBidi"/>
          <w:b w:val="0"/>
          <w:bCs w:val="0"/>
          <w:sz w:val="22"/>
          <w:szCs w:val="22"/>
          <w:lang w:eastAsia="en-GB"/>
        </w:rPr>
        <w:tab/>
      </w:r>
      <w:r w:rsidR="002855D2" w:rsidRPr="00A8007F">
        <w:rPr>
          <w:bCs w:val="0"/>
        </w:rPr>
        <w:t>Legal Background</w:t>
      </w:r>
      <w:r w:rsidR="002855D2">
        <w:tab/>
      </w:r>
      <w:r>
        <w:fldChar w:fldCharType="begin"/>
      </w:r>
      <w:r w:rsidR="002855D2">
        <w:instrText xml:space="preserve"> PAGEREF _Toc280718011 \h </w:instrText>
      </w:r>
      <w:r>
        <w:fldChar w:fldCharType="separate"/>
      </w:r>
      <w:r w:rsidR="002855D2">
        <w:t>3</w:t>
      </w:r>
      <w:r>
        <w:fldChar w:fldCharType="end"/>
      </w:r>
    </w:p>
    <w:p w:rsidR="002855D2" w:rsidRDefault="002855D2">
      <w:pPr>
        <w:pStyle w:val="TOC1"/>
        <w:rPr>
          <w:rFonts w:asciiTheme="minorHAnsi" w:eastAsiaTheme="minorEastAsia" w:hAnsiTheme="minorHAnsi" w:cstheme="minorBidi"/>
          <w:b w:val="0"/>
          <w:bCs w:val="0"/>
          <w:sz w:val="22"/>
          <w:szCs w:val="22"/>
          <w:lang w:eastAsia="en-GB"/>
        </w:rPr>
      </w:pPr>
      <w:r w:rsidRPr="00A8007F">
        <w:rPr>
          <w:bCs w:val="0"/>
        </w:rPr>
        <w:t>2.</w:t>
      </w:r>
      <w:r>
        <w:rPr>
          <w:rFonts w:asciiTheme="minorHAnsi" w:eastAsiaTheme="minorEastAsia" w:hAnsiTheme="minorHAnsi" w:cstheme="minorBidi"/>
          <w:b w:val="0"/>
          <w:bCs w:val="0"/>
          <w:sz w:val="22"/>
          <w:szCs w:val="22"/>
          <w:lang w:eastAsia="en-GB"/>
        </w:rPr>
        <w:tab/>
      </w:r>
      <w:r w:rsidRPr="00A8007F">
        <w:rPr>
          <w:bCs w:val="0"/>
        </w:rPr>
        <w:t>History</w:t>
      </w:r>
      <w:r>
        <w:tab/>
      </w:r>
      <w:r w:rsidR="007B1AE5">
        <w:fldChar w:fldCharType="begin"/>
      </w:r>
      <w:r>
        <w:instrText xml:space="preserve"> PAGEREF _Toc280718012 \h </w:instrText>
      </w:r>
      <w:r w:rsidR="007B1AE5">
        <w:fldChar w:fldCharType="separate"/>
      </w:r>
      <w:r>
        <w:t>4</w:t>
      </w:r>
      <w:r w:rsidR="007B1AE5">
        <w:fldChar w:fldCharType="end"/>
      </w:r>
    </w:p>
    <w:p w:rsidR="002855D2" w:rsidRDefault="002855D2">
      <w:pPr>
        <w:pStyle w:val="TOC1"/>
        <w:rPr>
          <w:rFonts w:asciiTheme="minorHAnsi" w:eastAsiaTheme="minorEastAsia" w:hAnsiTheme="minorHAnsi" w:cstheme="minorBidi"/>
          <w:b w:val="0"/>
          <w:bCs w:val="0"/>
          <w:sz w:val="22"/>
          <w:szCs w:val="22"/>
          <w:lang w:eastAsia="en-GB"/>
        </w:rPr>
      </w:pPr>
      <w:r w:rsidRPr="00A8007F">
        <w:rPr>
          <w:bCs w:val="0"/>
        </w:rPr>
        <w:t>3.</w:t>
      </w:r>
      <w:r>
        <w:rPr>
          <w:rFonts w:asciiTheme="minorHAnsi" w:eastAsiaTheme="minorEastAsia" w:hAnsiTheme="minorHAnsi" w:cstheme="minorBidi"/>
          <w:b w:val="0"/>
          <w:bCs w:val="0"/>
          <w:sz w:val="22"/>
          <w:szCs w:val="22"/>
          <w:lang w:eastAsia="en-GB"/>
        </w:rPr>
        <w:tab/>
      </w:r>
      <w:r>
        <w:t>The Determination</w:t>
      </w:r>
      <w:r>
        <w:tab/>
      </w:r>
      <w:r w:rsidR="007B1AE5">
        <w:fldChar w:fldCharType="begin"/>
      </w:r>
      <w:r>
        <w:instrText xml:space="preserve"> PAGEREF _Toc280718013 \h </w:instrText>
      </w:r>
      <w:r w:rsidR="007B1AE5">
        <w:fldChar w:fldCharType="separate"/>
      </w:r>
      <w:r>
        <w:t>5</w:t>
      </w:r>
      <w:r w:rsidR="007B1AE5">
        <w:fldChar w:fldCharType="end"/>
      </w:r>
    </w:p>
    <w:p w:rsidR="002855D2" w:rsidRDefault="002855D2">
      <w:pPr>
        <w:pStyle w:val="TOC1"/>
        <w:rPr>
          <w:rFonts w:asciiTheme="minorHAnsi" w:eastAsiaTheme="minorEastAsia" w:hAnsiTheme="minorHAnsi" w:cstheme="minorBidi"/>
          <w:b w:val="0"/>
          <w:bCs w:val="0"/>
          <w:sz w:val="22"/>
          <w:szCs w:val="22"/>
          <w:lang w:eastAsia="en-GB"/>
        </w:rPr>
      </w:pPr>
      <w:r w:rsidRPr="00A8007F">
        <w:rPr>
          <w:bCs w:val="0"/>
        </w:rPr>
        <w:t>4.</w:t>
      </w:r>
      <w:r>
        <w:rPr>
          <w:rFonts w:asciiTheme="minorHAnsi" w:eastAsiaTheme="minorEastAsia" w:hAnsiTheme="minorHAnsi" w:cstheme="minorBidi"/>
          <w:b w:val="0"/>
          <w:bCs w:val="0"/>
          <w:sz w:val="22"/>
          <w:szCs w:val="22"/>
          <w:lang w:eastAsia="en-GB"/>
        </w:rPr>
        <w:tab/>
      </w:r>
      <w:r>
        <w:t>Effective Date</w:t>
      </w:r>
      <w:r>
        <w:tab/>
      </w:r>
      <w:r w:rsidR="007B1AE5">
        <w:fldChar w:fldCharType="begin"/>
      </w:r>
      <w:r>
        <w:instrText xml:space="preserve"> PAGEREF _Toc280718014 \h </w:instrText>
      </w:r>
      <w:r w:rsidR="007B1AE5">
        <w:fldChar w:fldCharType="separate"/>
      </w:r>
      <w:r>
        <w:t>12</w:t>
      </w:r>
      <w:r w:rsidR="007B1AE5">
        <w:fldChar w:fldCharType="end"/>
      </w:r>
    </w:p>
    <w:p w:rsidR="002855D2" w:rsidRDefault="002855D2">
      <w:pPr>
        <w:pStyle w:val="TOC1"/>
        <w:rPr>
          <w:rFonts w:asciiTheme="minorHAnsi" w:eastAsiaTheme="minorEastAsia" w:hAnsiTheme="minorHAnsi" w:cstheme="minorBidi"/>
          <w:b w:val="0"/>
          <w:bCs w:val="0"/>
          <w:sz w:val="22"/>
          <w:szCs w:val="22"/>
          <w:lang w:eastAsia="en-GB"/>
        </w:rPr>
      </w:pPr>
      <w:r w:rsidRPr="00A8007F">
        <w:rPr>
          <w:bCs w:val="0"/>
        </w:rPr>
        <w:t>5.</w:t>
      </w:r>
      <w:r>
        <w:rPr>
          <w:rFonts w:asciiTheme="minorHAnsi" w:eastAsiaTheme="minorEastAsia" w:hAnsiTheme="minorHAnsi" w:cstheme="minorBidi"/>
          <w:b w:val="0"/>
          <w:bCs w:val="0"/>
          <w:sz w:val="22"/>
          <w:szCs w:val="22"/>
          <w:lang w:eastAsia="en-GB"/>
        </w:rPr>
        <w:tab/>
      </w:r>
      <w:r>
        <w:t>Acknowledgement</w:t>
      </w:r>
      <w:r>
        <w:tab/>
      </w:r>
      <w:r w:rsidR="007B1AE5">
        <w:fldChar w:fldCharType="begin"/>
      </w:r>
      <w:r>
        <w:instrText xml:space="preserve"> PAGEREF _Toc280718015 \h </w:instrText>
      </w:r>
      <w:r w:rsidR="007B1AE5">
        <w:fldChar w:fldCharType="separate"/>
      </w:r>
      <w:r>
        <w:t>12</w:t>
      </w:r>
      <w:r w:rsidR="007B1AE5">
        <w:fldChar w:fldCharType="end"/>
      </w:r>
    </w:p>
    <w:p w:rsidR="00865142" w:rsidRDefault="007B1AE5" w:rsidP="00D261ED">
      <w:pPr>
        <w:suppressAutoHyphens/>
        <w:jc w:val="both"/>
      </w:pPr>
      <w:r>
        <w:rPr>
          <w:rFonts w:ascii="Arial Bold" w:hAnsi="Arial Bold"/>
          <w:b/>
          <w:bCs/>
          <w:noProof/>
        </w:rPr>
        <w:fldChar w:fldCharType="end"/>
      </w: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865142" w:rsidRDefault="00865142" w:rsidP="00D261ED">
      <w:pPr>
        <w:suppressAutoHyphens/>
        <w:jc w:val="both"/>
        <w:outlineLvl w:val="0"/>
        <w:rPr>
          <w:rFonts w:asciiTheme="majorBidi" w:hAnsiTheme="majorBidi" w:cstheme="majorBidi"/>
          <w:b/>
          <w:bCs/>
        </w:rPr>
      </w:pPr>
    </w:p>
    <w:p w:rsidR="005750FB" w:rsidRDefault="005750FB" w:rsidP="00D261ED">
      <w:pPr>
        <w:suppressAutoHyphens/>
        <w:rPr>
          <w:rFonts w:asciiTheme="majorBidi" w:hAnsiTheme="majorBidi" w:cstheme="majorBidi"/>
          <w:b/>
          <w:bCs/>
        </w:rPr>
      </w:pPr>
      <w:r>
        <w:rPr>
          <w:rFonts w:asciiTheme="majorBidi" w:hAnsiTheme="majorBidi" w:cstheme="majorBidi"/>
          <w:b/>
          <w:bCs/>
        </w:rPr>
        <w:br w:type="page"/>
      </w:r>
    </w:p>
    <w:p w:rsidR="00865142" w:rsidRDefault="00A643F4" w:rsidP="00D261ED">
      <w:pPr>
        <w:pStyle w:val="Heading1"/>
        <w:jc w:val="both"/>
        <w:rPr>
          <w:b w:val="0"/>
          <w:bCs w:val="0"/>
        </w:rPr>
      </w:pPr>
      <w:bookmarkStart w:id="0" w:name="_Toc280718011"/>
      <w:r>
        <w:rPr>
          <w:bCs w:val="0"/>
        </w:rPr>
        <w:lastRenderedPageBreak/>
        <w:t>Legal Background</w:t>
      </w:r>
      <w:bookmarkEnd w:id="0"/>
    </w:p>
    <w:p w:rsidR="009E2E22" w:rsidRDefault="009E2E22" w:rsidP="00D261ED">
      <w:pPr>
        <w:suppressAutoHyphens/>
        <w:jc w:val="both"/>
        <w:rPr>
          <w:lang w:val="en-US"/>
        </w:rPr>
      </w:pPr>
    </w:p>
    <w:p w:rsidR="009E2E22" w:rsidRDefault="00A643F4" w:rsidP="00D261ED">
      <w:pPr>
        <w:pStyle w:val="Heading2"/>
        <w:jc w:val="both"/>
      </w:pPr>
      <w:proofErr w:type="gramStart"/>
      <w:r w:rsidRPr="00F1628C">
        <w:t>Article 12 of Federal Law by Decree No.</w:t>
      </w:r>
      <w:proofErr w:type="gramEnd"/>
      <w:r w:rsidRPr="00F1628C">
        <w:t xml:space="preserve"> (3) </w:t>
      </w:r>
      <w:proofErr w:type="gramStart"/>
      <w:r w:rsidRPr="00F1628C">
        <w:t>of</w:t>
      </w:r>
      <w:proofErr w:type="gramEnd"/>
      <w:r w:rsidRPr="00F1628C">
        <w:t xml:space="preserve"> 2003 as amended, </w:t>
      </w:r>
      <w:r>
        <w:t>(the “</w:t>
      </w:r>
      <w:r w:rsidRPr="00554DEF">
        <w:rPr>
          <w:i/>
          <w:iCs/>
        </w:rPr>
        <w:t>Law</w:t>
      </w:r>
      <w:r>
        <w:t xml:space="preserve">”) </w:t>
      </w:r>
      <w:r w:rsidRPr="00F1628C">
        <w:t xml:space="preserve">established the </w:t>
      </w:r>
      <w:r>
        <w:t>TRA</w:t>
      </w:r>
      <w:r w:rsidRPr="00F1628C">
        <w:t xml:space="preserve"> as the, “…</w:t>
      </w:r>
      <w:r w:rsidRPr="00F1628C">
        <w:rPr>
          <w:i/>
          <w:iCs/>
        </w:rPr>
        <w:t>competent body to oversee the telecommunications sector in the State and all Licensees</w:t>
      </w:r>
      <w:r w:rsidRPr="00F1628C">
        <w:t xml:space="preserve">…”. </w:t>
      </w:r>
    </w:p>
    <w:p w:rsidR="009E2E22" w:rsidRDefault="009E2E22" w:rsidP="00D261ED">
      <w:pPr>
        <w:suppressAutoHyphens/>
        <w:jc w:val="both"/>
        <w:rPr>
          <w:lang w:val="en-US"/>
        </w:rPr>
      </w:pPr>
    </w:p>
    <w:p w:rsidR="00A643F4" w:rsidRDefault="008F743E" w:rsidP="008F743E">
      <w:pPr>
        <w:pStyle w:val="Heading2"/>
        <w:keepNext/>
        <w:jc w:val="both"/>
      </w:pPr>
      <w:r>
        <w:t>Article 14</w:t>
      </w:r>
      <w:r w:rsidR="00A643F4">
        <w:t xml:space="preserve"> of the Law stipulates that </w:t>
      </w:r>
      <w:r>
        <w:t>the TRA shall have the competence to issue regulations, instructions, decisions and rules “…</w:t>
      </w:r>
      <w:r w:rsidRPr="008F743E">
        <w:rPr>
          <w:i/>
          <w:iCs/>
        </w:rPr>
        <w:t>regulating and ensuring competition in the telecommunications sector</w:t>
      </w:r>
      <w:r>
        <w:t>…</w:t>
      </w:r>
      <w:proofErr w:type="gramStart"/>
      <w:r>
        <w:t>”</w:t>
      </w:r>
      <w:r w:rsidR="00A643F4">
        <w:t>.</w:t>
      </w:r>
      <w:proofErr w:type="gramEnd"/>
    </w:p>
    <w:p w:rsidR="009E2E22" w:rsidRDefault="009E2E22" w:rsidP="00D261ED">
      <w:pPr>
        <w:suppressAutoHyphens/>
        <w:jc w:val="both"/>
        <w:rPr>
          <w:lang w:val="en-US"/>
        </w:rPr>
      </w:pPr>
    </w:p>
    <w:p w:rsidR="009E2E22" w:rsidRDefault="00207CA4" w:rsidP="004E385E">
      <w:pPr>
        <w:pStyle w:val="Heading2"/>
        <w:keepNext/>
        <w:jc w:val="both"/>
      </w:pPr>
      <w:r>
        <w:t>Article 7 in Etisalat’s Telecommunication License No. 1/2006</w:t>
      </w:r>
      <w:r w:rsidR="004E385E">
        <w:t>, as well as</w:t>
      </w:r>
      <w:r>
        <w:t xml:space="preserve"> EITC’s Telecommunications License No. 2/2006, stipulates that “</w:t>
      </w:r>
      <w:r w:rsidRPr="00207CA4">
        <w:rPr>
          <w:i/>
          <w:iCs/>
        </w:rPr>
        <w:t>the Licensee</w:t>
      </w:r>
      <w:r>
        <w:t xml:space="preserve"> </w:t>
      </w:r>
      <w:r w:rsidRPr="00207CA4">
        <w:rPr>
          <w:i/>
          <w:iCs/>
        </w:rPr>
        <w:t>shall not alone or together with others, engage in or continue, or knowingly acquiesce in any anti-competitive practices</w:t>
      </w:r>
      <w:r>
        <w:t>…</w:t>
      </w:r>
      <w:proofErr w:type="gramStart"/>
      <w:r>
        <w:t>”.</w:t>
      </w:r>
      <w:proofErr w:type="gramEnd"/>
      <w:r w:rsidR="00A643F4">
        <w:t xml:space="preserve"> </w:t>
      </w:r>
    </w:p>
    <w:p w:rsidR="004E385E" w:rsidRDefault="004E385E" w:rsidP="004E385E">
      <w:pPr>
        <w:suppressAutoHyphens/>
        <w:jc w:val="both"/>
        <w:rPr>
          <w:lang w:val="en-US"/>
        </w:rPr>
      </w:pPr>
    </w:p>
    <w:p w:rsidR="002855D2" w:rsidRPr="002855D2" w:rsidRDefault="002855D2" w:rsidP="002855D2">
      <w:pPr>
        <w:pStyle w:val="Heading2"/>
        <w:keepNext/>
        <w:spacing w:before="120" w:after="120"/>
        <w:jc w:val="both"/>
      </w:pPr>
      <w:r w:rsidRPr="002855D2">
        <w:t>Articles 19 of</w:t>
      </w:r>
    </w:p>
    <w:p w:rsidR="002855D2" w:rsidRPr="002855D2" w:rsidRDefault="00FE40EB" w:rsidP="002855D2">
      <w:pPr>
        <w:pStyle w:val="Heading3"/>
        <w:spacing w:before="120" w:after="120"/>
        <w:rPr>
          <w:b w:val="0"/>
        </w:rPr>
      </w:pPr>
      <w:proofErr w:type="spellStart"/>
      <w:r w:rsidRPr="00FE40EB">
        <w:rPr>
          <w:b w:val="0"/>
        </w:rPr>
        <w:t>Nedaa</w:t>
      </w:r>
      <w:proofErr w:type="spellEnd"/>
      <w:r w:rsidRPr="00FE40EB">
        <w:rPr>
          <w:b w:val="0"/>
        </w:rPr>
        <w:t xml:space="preserve"> Corporation’s PAMR Licence No 1/2009 (1);</w:t>
      </w:r>
    </w:p>
    <w:p w:rsidR="002855D2" w:rsidRPr="002855D2" w:rsidRDefault="00FE40EB" w:rsidP="002855D2">
      <w:pPr>
        <w:pStyle w:val="Heading3"/>
        <w:spacing w:before="120" w:after="120"/>
        <w:rPr>
          <w:b w:val="0"/>
        </w:rPr>
      </w:pPr>
      <w:r w:rsidRPr="00FE40EB">
        <w:rPr>
          <w:b w:val="0"/>
        </w:rPr>
        <w:t>Al Yah Satellite Communications Company’s Satellite Services License No 1/2010 (2);</w:t>
      </w:r>
    </w:p>
    <w:p w:rsidR="002855D2" w:rsidRPr="002855D2" w:rsidRDefault="00FE40EB" w:rsidP="002855D2">
      <w:pPr>
        <w:pStyle w:val="Heading3"/>
        <w:spacing w:before="120" w:after="120"/>
        <w:rPr>
          <w:b w:val="0"/>
        </w:rPr>
      </w:pPr>
      <w:proofErr w:type="spellStart"/>
      <w:r w:rsidRPr="00FE40EB">
        <w:rPr>
          <w:b w:val="0"/>
        </w:rPr>
        <w:t>Alyah</w:t>
      </w:r>
      <w:proofErr w:type="spellEnd"/>
      <w:r w:rsidRPr="00FE40EB">
        <w:rPr>
          <w:b w:val="0"/>
        </w:rPr>
        <w:t xml:space="preserve"> Advanced Satellite Communications Services’ Satellite Services Licence No 2/2010 (3); and</w:t>
      </w:r>
    </w:p>
    <w:p w:rsidR="002855D2" w:rsidRPr="002855D2" w:rsidRDefault="00FE40EB" w:rsidP="002855D2">
      <w:pPr>
        <w:pStyle w:val="Heading3"/>
        <w:spacing w:before="120" w:after="120"/>
        <w:rPr>
          <w:b w:val="0"/>
        </w:rPr>
      </w:pPr>
      <w:r w:rsidRPr="00FE40EB">
        <w:rPr>
          <w:b w:val="0"/>
        </w:rPr>
        <w:t xml:space="preserve">Star Satellite Communications Company’s Satellite Services and Broadcasting Services Licence No 3/2010 (4), </w:t>
      </w:r>
    </w:p>
    <w:p w:rsidR="00706365" w:rsidRDefault="002855D2">
      <w:pPr>
        <w:pStyle w:val="Heading2"/>
        <w:keepNext/>
        <w:numPr>
          <w:ilvl w:val="0"/>
          <w:numId w:val="0"/>
        </w:numPr>
        <w:ind w:left="1418"/>
        <w:jc w:val="both"/>
      </w:pPr>
      <w:proofErr w:type="gramStart"/>
      <w:r>
        <w:t>stipulate</w:t>
      </w:r>
      <w:proofErr w:type="gramEnd"/>
      <w:r>
        <w:t xml:space="preserve"> that “</w:t>
      </w:r>
      <w:r w:rsidRPr="00207CA4">
        <w:rPr>
          <w:i/>
          <w:iCs/>
        </w:rPr>
        <w:t>the Licensee</w:t>
      </w:r>
      <w:r>
        <w:t xml:space="preserve"> </w:t>
      </w:r>
      <w:r w:rsidRPr="00207CA4">
        <w:rPr>
          <w:i/>
          <w:iCs/>
        </w:rPr>
        <w:t xml:space="preserve">shall </w:t>
      </w:r>
      <w:r>
        <w:rPr>
          <w:i/>
          <w:iCs/>
        </w:rPr>
        <w:t xml:space="preserve">comply with the rules regarding </w:t>
      </w:r>
      <w:r w:rsidRPr="00207CA4">
        <w:rPr>
          <w:i/>
          <w:iCs/>
        </w:rPr>
        <w:t xml:space="preserve">anti-competitive </w:t>
      </w:r>
      <w:r>
        <w:rPr>
          <w:i/>
          <w:iCs/>
        </w:rPr>
        <w:t>conduct as set out in the Regulatory Framework”</w:t>
      </w:r>
      <w:r w:rsidR="004E385E">
        <w:t xml:space="preserve"> </w:t>
      </w:r>
    </w:p>
    <w:p w:rsidR="00207CA4" w:rsidRPr="00207CA4" w:rsidRDefault="00207CA4" w:rsidP="00207CA4">
      <w:pPr>
        <w:rPr>
          <w:lang w:val="en-US"/>
        </w:rPr>
      </w:pPr>
    </w:p>
    <w:p w:rsidR="00077DFD" w:rsidRDefault="00077DFD" w:rsidP="005641F2">
      <w:pPr>
        <w:pStyle w:val="Heading2"/>
        <w:keepNext/>
        <w:jc w:val="both"/>
      </w:pPr>
      <w:r>
        <w:t>Article 2.3 of the TRA’s Ex Ante Competition Safeguard</w:t>
      </w:r>
      <w:r w:rsidR="005641F2">
        <w:t>s Regulatory Policy, Version 1.1</w:t>
      </w:r>
      <w:r>
        <w:t xml:space="preserve"> issued 30</w:t>
      </w:r>
      <w:r w:rsidRPr="00077DFD">
        <w:rPr>
          <w:vertAlign w:val="superscript"/>
        </w:rPr>
        <w:t>th</w:t>
      </w:r>
      <w:r>
        <w:t xml:space="preserve"> </w:t>
      </w:r>
      <w:r w:rsidR="005641F2">
        <w:t>September 2010</w:t>
      </w:r>
      <w:r>
        <w:t>, indicate</w:t>
      </w:r>
      <w:r w:rsidR="00E55F66">
        <w:t>s</w:t>
      </w:r>
      <w:r>
        <w:t xml:space="preserve"> that the purpose of the TRA’s “</w:t>
      </w:r>
      <w:r w:rsidRPr="00077DFD">
        <w:rPr>
          <w:i/>
          <w:iCs/>
        </w:rPr>
        <w:t>ex ante Regulatory Policy is to institute a framework for the TRA to define relevant retail and wholesale telecommunications markets in the UAE, and to undertake a competition assessment of these relevant markets for the purpose of determining Market Power</w:t>
      </w:r>
      <w:r>
        <w:t>”.</w:t>
      </w:r>
    </w:p>
    <w:p w:rsidR="00077DFD" w:rsidRPr="00077DFD" w:rsidRDefault="00077DFD" w:rsidP="00077DFD">
      <w:pPr>
        <w:rPr>
          <w:lang w:val="en-US"/>
        </w:rPr>
      </w:pPr>
    </w:p>
    <w:p w:rsidR="003615F1" w:rsidRDefault="00077DFD" w:rsidP="00077DFD">
      <w:pPr>
        <w:pStyle w:val="Heading2"/>
        <w:keepNext/>
        <w:jc w:val="both"/>
      </w:pPr>
      <w:r>
        <w:t>Article 4.1 of the above mentioned TRA’s Ex Ante Competition Safeguards Regulatory Policy</w:t>
      </w:r>
      <w:r w:rsidR="0074300E">
        <w:t>,</w:t>
      </w:r>
      <w:r>
        <w:t xml:space="preserve"> stipulates that “</w:t>
      </w:r>
      <w:r w:rsidRPr="00077DFD">
        <w:rPr>
          <w:i/>
          <w:iCs/>
        </w:rPr>
        <w:t>the TRA will, at its discretion determine, from time to time, what are the Relevant Markets for the purposes of this Regulatory Policy, in accordance with the principles set out in this Regulatory Policy</w:t>
      </w:r>
      <w:r>
        <w:t xml:space="preserve">”. </w:t>
      </w:r>
    </w:p>
    <w:p w:rsidR="009E2E22" w:rsidRDefault="009E2E22" w:rsidP="00D261ED">
      <w:pPr>
        <w:suppressAutoHyphens/>
      </w:pPr>
    </w:p>
    <w:p w:rsidR="00B42481" w:rsidRDefault="00B42481" w:rsidP="00D261ED">
      <w:pPr>
        <w:suppressAutoHyphens/>
        <w:rPr>
          <w:lang w:val="en-US"/>
        </w:rPr>
      </w:pPr>
      <w:r>
        <w:br w:type="page"/>
      </w:r>
    </w:p>
    <w:p w:rsidR="00553E7D" w:rsidRPr="00553E7D" w:rsidRDefault="00553E7D" w:rsidP="00D261ED">
      <w:pPr>
        <w:pStyle w:val="Heading1"/>
        <w:jc w:val="both"/>
        <w:rPr>
          <w:bCs w:val="0"/>
        </w:rPr>
      </w:pPr>
      <w:bookmarkStart w:id="1" w:name="_Toc280718012"/>
      <w:r w:rsidRPr="00553E7D">
        <w:rPr>
          <w:bCs w:val="0"/>
        </w:rPr>
        <w:lastRenderedPageBreak/>
        <w:t>History</w:t>
      </w:r>
      <w:bookmarkEnd w:id="1"/>
    </w:p>
    <w:p w:rsidR="002346A5" w:rsidRDefault="002346A5" w:rsidP="00D261ED">
      <w:pPr>
        <w:pStyle w:val="ListParagraph"/>
        <w:suppressAutoHyphens/>
        <w:jc w:val="both"/>
      </w:pPr>
    </w:p>
    <w:p w:rsidR="0023057C" w:rsidRDefault="00E55F66" w:rsidP="00E55F66">
      <w:pPr>
        <w:pStyle w:val="Heading2"/>
        <w:jc w:val="both"/>
      </w:pPr>
      <w:r>
        <w:t>On 30</w:t>
      </w:r>
      <w:r w:rsidRPr="00E55F66">
        <w:rPr>
          <w:vertAlign w:val="superscript"/>
        </w:rPr>
        <w:t>th</w:t>
      </w:r>
      <w:r>
        <w:t xml:space="preserve"> December 2009, the TRA issued its Ex Ante Competition Safeguards Regulatory Policy, Version 1.0 </w:t>
      </w:r>
      <w:r w:rsidR="00C91A82">
        <w:t xml:space="preserve"> </w:t>
      </w:r>
      <w:r w:rsidR="004F5D86">
        <w:t xml:space="preserve"> </w:t>
      </w:r>
      <w:r w:rsidR="005641F2">
        <w:t>with the purpose to “</w:t>
      </w:r>
      <w:r w:rsidR="005641F2" w:rsidRPr="00077DFD">
        <w:rPr>
          <w:i/>
          <w:iCs/>
        </w:rPr>
        <w:t xml:space="preserve">institute a framework for the TRA to define relevant retail and wholesale telecommunications markets in the </w:t>
      </w:r>
      <w:proofErr w:type="gramStart"/>
      <w:r w:rsidR="005641F2" w:rsidRPr="00077DFD">
        <w:rPr>
          <w:i/>
          <w:iCs/>
        </w:rPr>
        <w:t>UAE,</w:t>
      </w:r>
      <w:proofErr w:type="gramEnd"/>
      <w:r w:rsidR="005641F2" w:rsidRPr="00077DFD">
        <w:rPr>
          <w:i/>
          <w:iCs/>
        </w:rPr>
        <w:t xml:space="preserve"> and to undertake a competition assessment of these relevant markets for the purpose of determining Market Power</w:t>
      </w:r>
      <w:r w:rsidR="005641F2">
        <w:t>”.</w:t>
      </w:r>
    </w:p>
    <w:p w:rsidR="005641F2" w:rsidRDefault="005641F2" w:rsidP="005641F2">
      <w:pPr>
        <w:pStyle w:val="ListParagraph"/>
        <w:suppressAutoHyphens/>
        <w:jc w:val="both"/>
      </w:pPr>
    </w:p>
    <w:p w:rsidR="005641F2" w:rsidRDefault="005641F2" w:rsidP="005641F2">
      <w:pPr>
        <w:pStyle w:val="Heading2"/>
        <w:jc w:val="both"/>
      </w:pPr>
      <w:r>
        <w:t>On 30</w:t>
      </w:r>
      <w:r w:rsidRPr="00E55F66">
        <w:rPr>
          <w:vertAlign w:val="superscript"/>
        </w:rPr>
        <w:t>th</w:t>
      </w:r>
      <w:r>
        <w:t xml:space="preserve"> December 2009, the TRA issued its Competition Safeguards Regulatory Policy, Version 1.0, in which the TRA identifies the factors (</w:t>
      </w:r>
      <w:r w:rsidRPr="00EB5C11">
        <w:t>Article 4</w:t>
      </w:r>
      <w:r>
        <w:t xml:space="preserve">) that it considers relevant when defining Relevant Markets, including: </w:t>
      </w:r>
    </w:p>
    <w:p w:rsidR="00EB5C11" w:rsidRPr="00EB5C11" w:rsidRDefault="00EB5C11" w:rsidP="00EB5C11">
      <w:pPr>
        <w:rPr>
          <w:lang w:val="en-US"/>
        </w:rPr>
      </w:pPr>
    </w:p>
    <w:p w:rsidR="005641F2" w:rsidRDefault="005641F2" w:rsidP="005641F2">
      <w:pPr>
        <w:pStyle w:val="Heading2"/>
        <w:numPr>
          <w:ilvl w:val="0"/>
          <w:numId w:val="26"/>
        </w:numPr>
        <w:jc w:val="both"/>
      </w:pPr>
      <w:proofErr w:type="gramStart"/>
      <w:r>
        <w:t>the</w:t>
      </w:r>
      <w:proofErr w:type="gramEnd"/>
      <w:r>
        <w:t xml:space="preserve"> geographical boundaries of the market,</w:t>
      </w:r>
    </w:p>
    <w:p w:rsidR="00EB5C11" w:rsidRPr="00EB5C11" w:rsidRDefault="00EB5C11" w:rsidP="00EB5C11">
      <w:pPr>
        <w:rPr>
          <w:lang w:val="en-US"/>
        </w:rPr>
      </w:pPr>
    </w:p>
    <w:p w:rsidR="005641F2" w:rsidRDefault="005641F2" w:rsidP="005641F2">
      <w:pPr>
        <w:pStyle w:val="Heading2"/>
        <w:numPr>
          <w:ilvl w:val="0"/>
          <w:numId w:val="26"/>
        </w:numPr>
        <w:jc w:val="both"/>
      </w:pPr>
      <w:proofErr w:type="gramStart"/>
      <w:r>
        <w:t>the</w:t>
      </w:r>
      <w:proofErr w:type="gramEnd"/>
      <w:r>
        <w:t xml:space="preserve"> functional level of the market,</w:t>
      </w:r>
    </w:p>
    <w:p w:rsidR="00EB5C11" w:rsidRPr="00EB5C11" w:rsidRDefault="00EB5C11" w:rsidP="00EB5C11">
      <w:pPr>
        <w:rPr>
          <w:lang w:val="en-US"/>
        </w:rPr>
      </w:pPr>
    </w:p>
    <w:p w:rsidR="005641F2" w:rsidRDefault="005641F2" w:rsidP="005641F2">
      <w:pPr>
        <w:pStyle w:val="Heading2"/>
        <w:numPr>
          <w:ilvl w:val="0"/>
          <w:numId w:val="26"/>
        </w:numPr>
        <w:jc w:val="both"/>
      </w:pPr>
      <w:proofErr w:type="gramStart"/>
      <w:r>
        <w:t>the</w:t>
      </w:r>
      <w:proofErr w:type="gramEnd"/>
      <w:r>
        <w:t xml:space="preserve"> type of customer that the market serves, and</w:t>
      </w:r>
    </w:p>
    <w:p w:rsidR="00EB5C11" w:rsidRPr="00EB5C11" w:rsidRDefault="00EB5C11" w:rsidP="00EB5C11">
      <w:pPr>
        <w:rPr>
          <w:lang w:val="en-US"/>
        </w:rPr>
      </w:pPr>
    </w:p>
    <w:p w:rsidR="005641F2" w:rsidRDefault="005641F2" w:rsidP="005641F2">
      <w:pPr>
        <w:pStyle w:val="Heading2"/>
        <w:numPr>
          <w:ilvl w:val="0"/>
          <w:numId w:val="26"/>
        </w:numPr>
        <w:jc w:val="both"/>
      </w:pPr>
      <w:proofErr w:type="gramStart"/>
      <w:r>
        <w:t>the</w:t>
      </w:r>
      <w:proofErr w:type="gramEnd"/>
      <w:r>
        <w:t xml:space="preserve"> temporal limits of the market.</w:t>
      </w:r>
    </w:p>
    <w:p w:rsidR="005641F2" w:rsidRPr="005641F2" w:rsidRDefault="005641F2" w:rsidP="005641F2">
      <w:pPr>
        <w:rPr>
          <w:lang w:val="en-US"/>
        </w:rPr>
      </w:pPr>
    </w:p>
    <w:p w:rsidR="005641F2" w:rsidRDefault="00330E41" w:rsidP="0031181E">
      <w:pPr>
        <w:pStyle w:val="Heading2"/>
        <w:jc w:val="both"/>
      </w:pPr>
      <w:r>
        <w:t>On 30</w:t>
      </w:r>
      <w:r w:rsidRPr="00330E41">
        <w:rPr>
          <w:vertAlign w:val="superscript"/>
        </w:rPr>
        <w:t>th</w:t>
      </w:r>
      <w:r>
        <w:t xml:space="preserve"> September 2010, the TRA issued the version 1.1 of its Ex Ante Competition Safeguards Regulatory Policy and its Competition Safeguards Regulatory Policy</w:t>
      </w:r>
      <w:r w:rsidR="0031181E">
        <w:t>, following</w:t>
      </w:r>
      <w:r>
        <w:t xml:space="preserve"> an update on some definitions used in these Policies.</w:t>
      </w:r>
    </w:p>
    <w:p w:rsidR="00330E41" w:rsidRPr="005641F2" w:rsidRDefault="00330E41" w:rsidP="00330E41">
      <w:pPr>
        <w:rPr>
          <w:lang w:val="en-US"/>
        </w:rPr>
      </w:pPr>
    </w:p>
    <w:p w:rsidR="00330E41" w:rsidRDefault="00330E41" w:rsidP="00EB5C11">
      <w:pPr>
        <w:pStyle w:val="Heading2"/>
        <w:jc w:val="both"/>
      </w:pPr>
      <w:r>
        <w:t>On 30</w:t>
      </w:r>
      <w:r w:rsidRPr="00330E41">
        <w:rPr>
          <w:vertAlign w:val="superscript"/>
        </w:rPr>
        <w:t>th</w:t>
      </w:r>
      <w:r>
        <w:t xml:space="preserve"> September 2010, the TRA issued </w:t>
      </w:r>
      <w:r w:rsidR="00EB5C11">
        <w:t>its</w:t>
      </w:r>
      <w:r>
        <w:t xml:space="preserve"> Market Definition and Competition Assessment Guidelines, Version 1.0, </w:t>
      </w:r>
      <w:r w:rsidR="00EB5C11">
        <w:t>wherein, i</w:t>
      </w:r>
      <w:r>
        <w:t xml:space="preserve">n line with Article 4 of the Competition Safeguards </w:t>
      </w:r>
      <w:r w:rsidR="00EB5C11">
        <w:t xml:space="preserve">Regulatory Policy </w:t>
      </w:r>
      <w:r>
        <w:t xml:space="preserve">and Article 4.2 of the </w:t>
      </w:r>
      <w:r w:rsidR="00EB5C11">
        <w:t>Ex A</w:t>
      </w:r>
      <w:r>
        <w:t>nte Competition Safeguards</w:t>
      </w:r>
      <w:r w:rsidR="00EB5C11">
        <w:t xml:space="preserve"> Regulatory Policy</w:t>
      </w:r>
      <w:r>
        <w:t xml:space="preserve">, </w:t>
      </w:r>
      <w:r w:rsidR="00EB5C11">
        <w:t>it</w:t>
      </w:r>
      <w:r>
        <w:t xml:space="preserve"> outline</w:t>
      </w:r>
      <w:r w:rsidR="00EB5C11">
        <w:t>s</w:t>
      </w:r>
      <w:r>
        <w:t xml:space="preserve"> </w:t>
      </w:r>
      <w:r w:rsidR="00EB5C11">
        <w:t>“</w:t>
      </w:r>
      <w:r w:rsidRPr="00EB5C11">
        <w:rPr>
          <w:i/>
          <w:iCs/>
        </w:rPr>
        <w:t xml:space="preserve">a comprehensive set of principles that the TRA intends to apply </w:t>
      </w:r>
      <w:r w:rsidR="00EB5C11" w:rsidRPr="00EB5C11">
        <w:rPr>
          <w:i/>
          <w:iCs/>
        </w:rPr>
        <w:t>in</w:t>
      </w:r>
      <w:r w:rsidRPr="00EB5C11">
        <w:rPr>
          <w:i/>
          <w:iCs/>
        </w:rPr>
        <w:t xml:space="preserve"> defining Relevant Markets in the UAE telecommunications sector for the purpose of an ex ante market review</w:t>
      </w:r>
      <w:r w:rsidR="00EB5C11">
        <w:rPr>
          <w:i/>
          <w:iCs/>
        </w:rPr>
        <w:t>…</w:t>
      </w:r>
      <w:r w:rsidR="00EB5C11">
        <w:t>”</w:t>
      </w:r>
      <w:r>
        <w:t>.</w:t>
      </w:r>
    </w:p>
    <w:p w:rsidR="00EB5C11" w:rsidRPr="005641F2" w:rsidRDefault="00EB5C11" w:rsidP="00EB5C11">
      <w:pPr>
        <w:rPr>
          <w:lang w:val="en-US"/>
        </w:rPr>
      </w:pPr>
    </w:p>
    <w:p w:rsidR="00EB5C11" w:rsidRDefault="00EB5C11" w:rsidP="0063401B">
      <w:pPr>
        <w:pStyle w:val="Heading2"/>
        <w:jc w:val="both"/>
      </w:pPr>
      <w:r>
        <w:t>On 4</w:t>
      </w:r>
      <w:r w:rsidRPr="00330E41">
        <w:rPr>
          <w:vertAlign w:val="superscript"/>
        </w:rPr>
        <w:t>th</w:t>
      </w:r>
      <w:r>
        <w:t xml:space="preserve"> October 2010, the TRA issued a consultation document </w:t>
      </w:r>
      <w:r w:rsidR="0063401B">
        <w:t>(“</w:t>
      </w:r>
      <w:r w:rsidRPr="00EB5C11">
        <w:rPr>
          <w:i/>
          <w:iCs/>
        </w:rPr>
        <w:t>The definition of Relevant markets for the purposes of ex ante market reviews</w:t>
      </w:r>
      <w:r w:rsidR="0063401B">
        <w:rPr>
          <w:i/>
          <w:iCs/>
        </w:rPr>
        <w:t>”</w:t>
      </w:r>
      <w:r w:rsidR="0063401B">
        <w:t>)</w:t>
      </w:r>
      <w:r>
        <w:t xml:space="preserve"> inviting for comments from Licensed Operators in the UAE on the TRA’s proposed definition of Relevant Markets for the purposes of condu</w:t>
      </w:r>
      <w:r w:rsidR="0063401B">
        <w:t>cting its ex ante market review, with 3</w:t>
      </w:r>
      <w:r w:rsidR="0063401B" w:rsidRPr="0063401B">
        <w:rPr>
          <w:vertAlign w:val="superscript"/>
        </w:rPr>
        <w:t>rd</w:t>
      </w:r>
      <w:r w:rsidR="0063401B">
        <w:t xml:space="preserve"> November 2010 as response date for submission of comments from the interested parties.</w:t>
      </w:r>
    </w:p>
    <w:p w:rsidR="00CE0389" w:rsidRDefault="00CE0389" w:rsidP="00CE0389">
      <w:pPr>
        <w:rPr>
          <w:lang w:val="en-US"/>
        </w:rPr>
      </w:pPr>
    </w:p>
    <w:p w:rsidR="000B1658" w:rsidRDefault="000B1658" w:rsidP="00CE0389">
      <w:pPr>
        <w:rPr>
          <w:lang w:val="en-US"/>
        </w:rPr>
      </w:pPr>
    </w:p>
    <w:p w:rsidR="000B1658" w:rsidRPr="005641F2" w:rsidRDefault="000B1658" w:rsidP="00CE0389">
      <w:pPr>
        <w:rPr>
          <w:lang w:val="en-US"/>
        </w:rPr>
      </w:pPr>
    </w:p>
    <w:p w:rsidR="00CE0389" w:rsidRDefault="00CE0389" w:rsidP="00CE0389">
      <w:pPr>
        <w:pStyle w:val="Heading2"/>
        <w:jc w:val="both"/>
      </w:pPr>
      <w:r>
        <w:lastRenderedPageBreak/>
        <w:t>The TRA received comments from the following parties:</w:t>
      </w:r>
    </w:p>
    <w:p w:rsidR="00CE0389" w:rsidRPr="00CE0389" w:rsidRDefault="00CE0389" w:rsidP="00CE0389">
      <w:pPr>
        <w:rPr>
          <w:lang w:val="en-US"/>
        </w:rPr>
      </w:pPr>
    </w:p>
    <w:p w:rsidR="00CE0389" w:rsidRDefault="00CE0389" w:rsidP="00CE0389">
      <w:pPr>
        <w:pStyle w:val="Heading2"/>
        <w:numPr>
          <w:ilvl w:val="0"/>
          <w:numId w:val="26"/>
        </w:numPr>
        <w:jc w:val="both"/>
      </w:pPr>
      <w:r>
        <w:t>Emirates Telecommunications Corporation (“Etisalat”),</w:t>
      </w:r>
    </w:p>
    <w:p w:rsidR="00CE0389" w:rsidRPr="00CE0389" w:rsidRDefault="00CE0389" w:rsidP="00CE0389">
      <w:pPr>
        <w:rPr>
          <w:lang w:val="en-US"/>
        </w:rPr>
      </w:pPr>
    </w:p>
    <w:p w:rsidR="00CE0389" w:rsidRDefault="00CE0389" w:rsidP="00CE0389">
      <w:pPr>
        <w:pStyle w:val="Heading2"/>
        <w:numPr>
          <w:ilvl w:val="0"/>
          <w:numId w:val="26"/>
        </w:numPr>
        <w:jc w:val="both"/>
      </w:pPr>
      <w:r>
        <w:t>UAE Communication and Media Industry Group (“UCMIP”),</w:t>
      </w:r>
    </w:p>
    <w:p w:rsidR="00CE0389" w:rsidRPr="00CE0389" w:rsidRDefault="00CE0389" w:rsidP="00CE0389">
      <w:pPr>
        <w:rPr>
          <w:lang w:val="en-US"/>
        </w:rPr>
      </w:pPr>
    </w:p>
    <w:p w:rsidR="00CE0389" w:rsidRDefault="00CE0389" w:rsidP="00CE0389">
      <w:pPr>
        <w:pStyle w:val="Heading2"/>
        <w:numPr>
          <w:ilvl w:val="0"/>
          <w:numId w:val="26"/>
        </w:numPr>
        <w:jc w:val="both"/>
      </w:pPr>
      <w:r>
        <w:t>Al Yah Satellite Communications (“</w:t>
      </w:r>
      <w:proofErr w:type="spellStart"/>
      <w:r>
        <w:t>Yahsat</w:t>
      </w:r>
      <w:proofErr w:type="spellEnd"/>
      <w:r>
        <w:t>”), and</w:t>
      </w:r>
    </w:p>
    <w:p w:rsidR="00CE0389" w:rsidRPr="00CE0389" w:rsidRDefault="00CE0389" w:rsidP="00CE0389">
      <w:pPr>
        <w:rPr>
          <w:lang w:val="en-US"/>
        </w:rPr>
      </w:pPr>
    </w:p>
    <w:p w:rsidR="00CE0389" w:rsidRDefault="00CE0389" w:rsidP="00CE0389">
      <w:pPr>
        <w:pStyle w:val="Heading2"/>
        <w:numPr>
          <w:ilvl w:val="0"/>
          <w:numId w:val="26"/>
        </w:numPr>
        <w:jc w:val="both"/>
      </w:pPr>
      <w:r>
        <w:t xml:space="preserve">Emirates </w:t>
      </w:r>
      <w:proofErr w:type="spellStart"/>
      <w:r>
        <w:t>Intergrated</w:t>
      </w:r>
      <w:proofErr w:type="spellEnd"/>
      <w:r>
        <w:t xml:space="preserve"> Telecommunications Company (“du”).</w:t>
      </w:r>
    </w:p>
    <w:p w:rsidR="00CE0389" w:rsidRPr="00CE0389" w:rsidRDefault="00CE0389" w:rsidP="00CE0389">
      <w:pPr>
        <w:rPr>
          <w:lang w:val="en-US"/>
        </w:rPr>
      </w:pPr>
    </w:p>
    <w:p w:rsidR="00141883" w:rsidRPr="00141883" w:rsidRDefault="003F1023" w:rsidP="00D261ED">
      <w:pPr>
        <w:pStyle w:val="Heading2"/>
        <w:numPr>
          <w:ilvl w:val="0"/>
          <w:numId w:val="0"/>
        </w:numPr>
        <w:ind w:left="1440"/>
        <w:jc w:val="both"/>
      </w:pPr>
      <w:r>
        <w:t xml:space="preserve"> </w:t>
      </w:r>
      <w:r w:rsidR="00F01C0B">
        <w:t xml:space="preserve"> </w:t>
      </w:r>
    </w:p>
    <w:p w:rsidR="009E2E22" w:rsidRDefault="00141883" w:rsidP="00D261ED">
      <w:pPr>
        <w:pStyle w:val="Heading1"/>
        <w:jc w:val="both"/>
      </w:pPr>
      <w:bookmarkStart w:id="2" w:name="_Toc280718013"/>
      <w:r>
        <w:t>The Determination</w:t>
      </w:r>
      <w:bookmarkEnd w:id="2"/>
    </w:p>
    <w:p w:rsidR="009E2E22" w:rsidRDefault="009E2E22" w:rsidP="00D261ED">
      <w:pPr>
        <w:suppressAutoHyphens/>
        <w:jc w:val="both"/>
        <w:rPr>
          <w:lang w:val="en-US"/>
        </w:rPr>
      </w:pPr>
    </w:p>
    <w:p w:rsidR="0031181E" w:rsidRDefault="0031181E" w:rsidP="002A70DB">
      <w:pPr>
        <w:pStyle w:val="Heading2"/>
        <w:jc w:val="both"/>
      </w:pPr>
      <w:r>
        <w:t xml:space="preserve">The TRA has determined Relevant </w:t>
      </w:r>
      <w:r w:rsidR="000B1658">
        <w:t xml:space="preserve">Retail and Wholesale </w:t>
      </w:r>
      <w:r>
        <w:t>Markets for Telecommunication Services and related products in the UAE</w:t>
      </w:r>
      <w:r w:rsidR="000B1658">
        <w:t xml:space="preserve">, as set out in </w:t>
      </w:r>
      <w:r w:rsidR="002A70DB">
        <w:t>paragraphs 3.2 and 3.3 below</w:t>
      </w:r>
      <w:r w:rsidR="000B1658">
        <w:t>.</w:t>
      </w:r>
    </w:p>
    <w:p w:rsidR="00706365" w:rsidRDefault="00706365"/>
    <w:p w:rsidR="002855D2" w:rsidRDefault="002855D2" w:rsidP="002855D2">
      <w:pPr>
        <w:pStyle w:val="Heading2"/>
        <w:jc w:val="both"/>
      </w:pPr>
      <w:r>
        <w:t xml:space="preserve">The lists of Relevant Markets (as defined in paragraphs 3.2 and 3.3 below) are not necessarily exhaustive, nor are they necessarily fixed.  The Relevant Markets have been defined based on an analysis of the sector at the time of preparing this Determination.  As circumstances change the lists of defined Relevant Markets may also change.  The TRA reserves the right to amend the lists of defined Relevant Markets at some future stage if and when relevant circumstances change. </w:t>
      </w:r>
    </w:p>
    <w:p w:rsidR="00706365" w:rsidRDefault="00706365"/>
    <w:p w:rsidR="000B1658" w:rsidRDefault="000B1658" w:rsidP="000B1658">
      <w:pPr>
        <w:pStyle w:val="Heading2"/>
        <w:numPr>
          <w:ilvl w:val="0"/>
          <w:numId w:val="0"/>
        </w:numPr>
        <w:ind w:left="1440"/>
        <w:jc w:val="both"/>
        <w:rPr>
          <w:b/>
          <w:lang w:val="en-GB"/>
        </w:rPr>
      </w:pPr>
    </w:p>
    <w:p w:rsidR="000B1658" w:rsidRDefault="000B1658">
      <w:r>
        <w:br w:type="page"/>
      </w:r>
    </w:p>
    <w:p w:rsidR="000B1658" w:rsidRDefault="000B1658" w:rsidP="000B1658">
      <w:pPr>
        <w:sectPr w:rsidR="000B1658" w:rsidSect="002F5B6B">
          <w:headerReference w:type="even" r:id="rId8"/>
          <w:headerReference w:type="default" r:id="rId9"/>
          <w:footerReference w:type="even" r:id="rId10"/>
          <w:footerReference w:type="default" r:id="rId11"/>
          <w:headerReference w:type="first" r:id="rId12"/>
          <w:footerReference w:type="first" r:id="rId13"/>
          <w:pgSz w:w="11909" w:h="16834" w:code="9"/>
          <w:pgMar w:top="1354" w:right="1296" w:bottom="1080" w:left="1440" w:header="288" w:footer="432" w:gutter="0"/>
          <w:cols w:space="708"/>
          <w:titlePg/>
          <w:docGrid w:linePitch="360"/>
        </w:sectPr>
      </w:pPr>
    </w:p>
    <w:p w:rsidR="000B1658" w:rsidRDefault="000B1658" w:rsidP="000B1658"/>
    <w:p w:rsidR="000B1658" w:rsidRPr="000B1658" w:rsidRDefault="000B1658" w:rsidP="000B1658"/>
    <w:p w:rsidR="000B1658" w:rsidRPr="008561F2" w:rsidRDefault="000B1658" w:rsidP="000B1658">
      <w:pPr>
        <w:pStyle w:val="Heading2"/>
        <w:numPr>
          <w:ilvl w:val="0"/>
          <w:numId w:val="0"/>
        </w:numPr>
        <w:ind w:left="1560"/>
        <w:jc w:val="both"/>
        <w:rPr>
          <w:b/>
          <w:lang w:val="en-GB"/>
        </w:rPr>
      </w:pPr>
      <w:r>
        <w:rPr>
          <w:b/>
          <w:lang w:val="en-GB"/>
        </w:rPr>
        <w:t>Relevant Markets for R</w:t>
      </w:r>
      <w:r w:rsidRPr="008561F2">
        <w:rPr>
          <w:b/>
          <w:lang w:val="en-GB"/>
        </w:rPr>
        <w:t xml:space="preserve">etail </w:t>
      </w:r>
      <w:r>
        <w:rPr>
          <w:b/>
          <w:lang w:val="en-GB"/>
        </w:rPr>
        <w:t>Telecommunication Services and related products</w:t>
      </w:r>
    </w:p>
    <w:p w:rsidR="000B1658" w:rsidRPr="008561F2" w:rsidRDefault="000B1658" w:rsidP="000B1658">
      <w:pPr>
        <w:suppressAutoHyphens/>
      </w:pPr>
    </w:p>
    <w:p w:rsidR="000B1658" w:rsidRDefault="000B1658" w:rsidP="000B1658">
      <w:pPr>
        <w:pStyle w:val="Heading2"/>
        <w:jc w:val="both"/>
        <w:rPr>
          <w:lang w:val="en-GB"/>
        </w:rPr>
      </w:pPr>
      <w:r w:rsidRPr="008561F2">
        <w:rPr>
          <w:lang w:val="en-GB"/>
        </w:rPr>
        <w:t xml:space="preserve">The following table sets out the </w:t>
      </w:r>
      <w:r>
        <w:rPr>
          <w:lang w:val="en-GB"/>
        </w:rPr>
        <w:t xml:space="preserve">list of </w:t>
      </w:r>
      <w:r w:rsidRPr="008561F2">
        <w:rPr>
          <w:lang w:val="en-GB"/>
        </w:rPr>
        <w:t xml:space="preserve">Relevant Markets </w:t>
      </w:r>
      <w:r>
        <w:rPr>
          <w:lang w:val="en-GB"/>
        </w:rPr>
        <w:t xml:space="preserve">for retail Telecommunication Services and related products </w:t>
      </w:r>
      <w:r w:rsidRPr="008561F2">
        <w:rPr>
          <w:lang w:val="en-GB"/>
        </w:rPr>
        <w:t xml:space="preserve">defined by </w:t>
      </w:r>
      <w:r>
        <w:rPr>
          <w:lang w:val="en-GB"/>
        </w:rPr>
        <w:t>the TRA</w:t>
      </w:r>
      <w:r w:rsidRPr="008561F2">
        <w:rPr>
          <w:lang w:val="en-GB"/>
        </w:rPr>
        <w:t xml:space="preserve"> in this </w:t>
      </w:r>
      <w:r>
        <w:rPr>
          <w:lang w:val="en-GB"/>
        </w:rPr>
        <w:t>Determination</w:t>
      </w:r>
      <w:r w:rsidRPr="008561F2">
        <w:rPr>
          <w:lang w:val="en-GB"/>
        </w:rPr>
        <w:t xml:space="preserve">. </w:t>
      </w:r>
    </w:p>
    <w:p w:rsidR="0031181E" w:rsidRPr="0031181E" w:rsidRDefault="0031181E" w:rsidP="0031181E">
      <w:pPr>
        <w:rPr>
          <w:lang w:val="en-US"/>
        </w:rPr>
      </w:pPr>
    </w:p>
    <w:p w:rsidR="0031181E" w:rsidRDefault="0031181E" w:rsidP="0031181E">
      <w:pPr>
        <w:rPr>
          <w:lang w:val="en-US"/>
        </w:rPr>
      </w:pPr>
    </w:p>
    <w:tbl>
      <w:tblPr>
        <w:tblW w:w="14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68"/>
        <w:gridCol w:w="7080"/>
        <w:gridCol w:w="1446"/>
        <w:gridCol w:w="5022"/>
      </w:tblGrid>
      <w:tr w:rsidR="000B1658" w:rsidRPr="00C83F7D" w:rsidTr="002855D2">
        <w:trPr>
          <w:cantSplit/>
          <w:tblHeader/>
        </w:trPr>
        <w:tc>
          <w:tcPr>
            <w:tcW w:w="1068" w:type="dxa"/>
            <w:shd w:val="solid" w:color="7F7F7F" w:fill="FFFFFF"/>
          </w:tcPr>
          <w:p w:rsidR="000B1658" w:rsidRPr="00C83F7D" w:rsidRDefault="000B1658" w:rsidP="00D8210B">
            <w:pPr>
              <w:suppressAutoHyphens/>
              <w:jc w:val="center"/>
              <w:rPr>
                <w:b/>
                <w:bCs/>
                <w:color w:val="FFFFFF"/>
              </w:rPr>
            </w:pPr>
            <w:r w:rsidRPr="00C83F7D">
              <w:rPr>
                <w:b/>
                <w:bCs/>
                <w:color w:val="FFFFFF"/>
                <w:sz w:val="22"/>
                <w:szCs w:val="22"/>
              </w:rPr>
              <w:t>Market number</w:t>
            </w:r>
          </w:p>
        </w:tc>
        <w:tc>
          <w:tcPr>
            <w:tcW w:w="7080" w:type="dxa"/>
            <w:shd w:val="solid" w:color="7F7F7F" w:fill="FFFFFF"/>
          </w:tcPr>
          <w:p w:rsidR="000B1658" w:rsidRPr="00C83F7D" w:rsidRDefault="000B1658" w:rsidP="00D8210B">
            <w:pPr>
              <w:suppressAutoHyphens/>
              <w:jc w:val="center"/>
              <w:rPr>
                <w:b/>
                <w:bCs/>
                <w:color w:val="FFFFFF"/>
              </w:rPr>
            </w:pPr>
            <w:r w:rsidRPr="00C83F7D">
              <w:rPr>
                <w:b/>
                <w:bCs/>
                <w:color w:val="FFFFFF"/>
                <w:sz w:val="22"/>
                <w:szCs w:val="22"/>
              </w:rPr>
              <w:t xml:space="preserve">Telecommunication Services and related products </w:t>
            </w:r>
          </w:p>
        </w:tc>
        <w:tc>
          <w:tcPr>
            <w:tcW w:w="1446" w:type="dxa"/>
            <w:shd w:val="solid" w:color="7F7F7F" w:fill="FFFFFF"/>
          </w:tcPr>
          <w:p w:rsidR="000B1658" w:rsidRPr="00C83F7D" w:rsidRDefault="000B1658" w:rsidP="00D8210B">
            <w:pPr>
              <w:suppressAutoHyphens/>
              <w:jc w:val="center"/>
              <w:rPr>
                <w:b/>
                <w:bCs/>
                <w:color w:val="FFFFFF"/>
              </w:rPr>
            </w:pPr>
            <w:r w:rsidRPr="00C83F7D">
              <w:rPr>
                <w:b/>
                <w:bCs/>
                <w:color w:val="FFFFFF"/>
                <w:sz w:val="22"/>
                <w:szCs w:val="22"/>
              </w:rPr>
              <w:t>Customer group</w:t>
            </w:r>
          </w:p>
        </w:tc>
        <w:tc>
          <w:tcPr>
            <w:tcW w:w="5022" w:type="dxa"/>
            <w:shd w:val="solid" w:color="7F7F7F" w:fill="FFFFFF"/>
          </w:tcPr>
          <w:p w:rsidR="000B1658" w:rsidRPr="00C83F7D" w:rsidRDefault="000B1658" w:rsidP="00D8210B">
            <w:pPr>
              <w:suppressAutoHyphens/>
              <w:jc w:val="center"/>
              <w:rPr>
                <w:b/>
                <w:bCs/>
                <w:color w:val="FFFFFF"/>
              </w:rPr>
            </w:pPr>
            <w:r w:rsidRPr="00C83F7D">
              <w:rPr>
                <w:b/>
                <w:bCs/>
                <w:color w:val="FFFFFF"/>
                <w:sz w:val="22"/>
                <w:szCs w:val="22"/>
              </w:rPr>
              <w:t>Geographic market definition</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RM1A</w:t>
            </w:r>
            <w:r>
              <w:rPr>
                <w:rStyle w:val="FootnoteReference"/>
                <w:sz w:val="22"/>
                <w:szCs w:val="22"/>
              </w:rPr>
              <w:footnoteReference w:id="2"/>
            </w:r>
          </w:p>
        </w:tc>
        <w:tc>
          <w:tcPr>
            <w:tcW w:w="7080" w:type="dxa"/>
          </w:tcPr>
          <w:p w:rsidR="000B1658" w:rsidRPr="00C83F7D" w:rsidRDefault="000B1658" w:rsidP="00D8210B">
            <w:pPr>
              <w:suppressAutoHyphens/>
              <w:rPr>
                <w:b/>
              </w:rPr>
            </w:pPr>
            <w:r w:rsidRPr="00C83F7D">
              <w:rPr>
                <w:b/>
                <w:sz w:val="22"/>
                <w:szCs w:val="22"/>
              </w:rPr>
              <w:t>Residential fixed line access and domestic call services</w:t>
            </w:r>
          </w:p>
          <w:p w:rsidR="000B1658" w:rsidRPr="00C83F7D" w:rsidRDefault="000B1658" w:rsidP="00D8210B">
            <w:pPr>
              <w:suppressAutoHyphens/>
              <w:rPr>
                <w:i/>
              </w:rPr>
            </w:pPr>
            <w:r w:rsidRPr="00C83F7D">
              <w:rPr>
                <w:i/>
                <w:sz w:val="22"/>
                <w:szCs w:val="22"/>
              </w:rPr>
              <w:t>Includes line rental and installation, fixed to fixed (on-net and off-net) local and national calls, fixed to mobile calls and dial-up internet calls originated by residential Customers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RM1B</w:t>
            </w:r>
          </w:p>
        </w:tc>
        <w:tc>
          <w:tcPr>
            <w:tcW w:w="7080" w:type="dxa"/>
          </w:tcPr>
          <w:p w:rsidR="000B1658" w:rsidRPr="00C83F7D" w:rsidRDefault="000B1658" w:rsidP="00D8210B">
            <w:pPr>
              <w:suppressAutoHyphens/>
              <w:rPr>
                <w:b/>
              </w:rPr>
            </w:pPr>
            <w:r w:rsidRPr="00C83F7D">
              <w:rPr>
                <w:b/>
                <w:sz w:val="22"/>
                <w:szCs w:val="22"/>
              </w:rPr>
              <w:t>Residential fixed line access and domestic call services</w:t>
            </w:r>
          </w:p>
          <w:p w:rsidR="000B1658" w:rsidRPr="00C83F7D" w:rsidRDefault="000B1658" w:rsidP="00D8210B">
            <w:pPr>
              <w:suppressAutoHyphens/>
              <w:rPr>
                <w:i/>
              </w:rPr>
            </w:pPr>
            <w:r w:rsidRPr="00C83F7D">
              <w:rPr>
                <w:i/>
                <w:sz w:val="22"/>
                <w:szCs w:val="22"/>
              </w:rPr>
              <w:t>Includes line rental and installation, fixed to fixed (on-net and off-net) local and national calls, fixed to mobile calls and dial-up internet calls originated by residential Customers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RM2A</w:t>
            </w:r>
          </w:p>
        </w:tc>
        <w:tc>
          <w:tcPr>
            <w:tcW w:w="7080" w:type="dxa"/>
          </w:tcPr>
          <w:p w:rsidR="000B1658" w:rsidRPr="00C83F7D" w:rsidRDefault="000B1658" w:rsidP="00D8210B">
            <w:pPr>
              <w:suppressAutoHyphens/>
              <w:rPr>
                <w:b/>
              </w:rPr>
            </w:pPr>
            <w:r w:rsidRPr="00C83F7D">
              <w:rPr>
                <w:b/>
                <w:sz w:val="22"/>
                <w:szCs w:val="22"/>
              </w:rPr>
              <w:t>Business fixed line access and domestic call services</w:t>
            </w:r>
          </w:p>
          <w:p w:rsidR="000B1658" w:rsidRPr="00C83F7D" w:rsidRDefault="000B1658" w:rsidP="00D8210B">
            <w:pPr>
              <w:suppressAutoHyphens/>
              <w:rPr>
                <w:i/>
              </w:rPr>
            </w:pPr>
            <w:r w:rsidRPr="00C83F7D">
              <w:rPr>
                <w:i/>
                <w:sz w:val="22"/>
                <w:szCs w:val="22"/>
              </w:rPr>
              <w:t>Includes line rental and installation, fixed to fixed (on-net and off-net) local and national calls, fixed to mobile calls and dial-up internet calls originated by business Customers</w:t>
            </w:r>
            <w:r w:rsidRPr="00C83F7D">
              <w:rPr>
                <w:rStyle w:val="FootnoteReference"/>
                <w:i/>
                <w:sz w:val="22"/>
                <w:szCs w:val="22"/>
              </w:rPr>
              <w:footnoteReference w:id="3"/>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lastRenderedPageBreak/>
              <w:t>RM2B</w:t>
            </w:r>
          </w:p>
        </w:tc>
        <w:tc>
          <w:tcPr>
            <w:tcW w:w="7080" w:type="dxa"/>
          </w:tcPr>
          <w:p w:rsidR="000B1658" w:rsidRPr="00C83F7D" w:rsidRDefault="000B1658" w:rsidP="00D8210B">
            <w:pPr>
              <w:suppressAutoHyphens/>
              <w:rPr>
                <w:b/>
              </w:rPr>
            </w:pPr>
            <w:r w:rsidRPr="00C83F7D">
              <w:rPr>
                <w:b/>
                <w:sz w:val="22"/>
                <w:szCs w:val="22"/>
              </w:rPr>
              <w:t>Business fixed line access and domestic call services</w:t>
            </w:r>
          </w:p>
          <w:p w:rsidR="000B1658" w:rsidRPr="00C83F7D" w:rsidRDefault="000B1658" w:rsidP="00D8210B">
            <w:pPr>
              <w:suppressAutoHyphens/>
              <w:rPr>
                <w:i/>
              </w:rPr>
            </w:pPr>
            <w:r w:rsidRPr="00C83F7D">
              <w:rPr>
                <w:i/>
                <w:sz w:val="22"/>
                <w:szCs w:val="22"/>
              </w:rPr>
              <w:t>Includes line rental and installation, fixed to fixed (on-net and off-net) local and national calls, fixed to mobile calls and dial-up internet calls originated by business Customers</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RM3A</w:t>
            </w:r>
          </w:p>
        </w:tc>
        <w:tc>
          <w:tcPr>
            <w:tcW w:w="7080" w:type="dxa"/>
          </w:tcPr>
          <w:p w:rsidR="000B1658" w:rsidRPr="00C83F7D" w:rsidRDefault="000B1658" w:rsidP="00D8210B">
            <w:pPr>
              <w:suppressAutoHyphens/>
              <w:rPr>
                <w:b/>
              </w:rPr>
            </w:pPr>
            <w:r w:rsidRPr="00C83F7D">
              <w:rPr>
                <w:b/>
                <w:sz w:val="22"/>
                <w:szCs w:val="22"/>
              </w:rPr>
              <w:t>International calls originated on fixed networks in the UAE by residential Customers</w:t>
            </w:r>
          </w:p>
          <w:p w:rsidR="000B1658" w:rsidRPr="00C83F7D" w:rsidRDefault="000B1658" w:rsidP="00D8210B">
            <w:pPr>
              <w:suppressAutoHyphens/>
              <w:rPr>
                <w:i/>
              </w:rPr>
            </w:pPr>
            <w:r w:rsidRPr="00C83F7D">
              <w:rPr>
                <w:i/>
                <w:sz w:val="22"/>
                <w:szCs w:val="22"/>
              </w:rPr>
              <w:t>Includes international calls made originated on a fixed network by residential Customers as well as international calls made from public payphones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RM3B</w:t>
            </w:r>
          </w:p>
        </w:tc>
        <w:tc>
          <w:tcPr>
            <w:tcW w:w="7080" w:type="dxa"/>
          </w:tcPr>
          <w:p w:rsidR="000B1658" w:rsidRPr="00C83F7D" w:rsidRDefault="000B1658" w:rsidP="00D8210B">
            <w:pPr>
              <w:suppressAutoHyphens/>
              <w:rPr>
                <w:b/>
              </w:rPr>
            </w:pPr>
            <w:r w:rsidRPr="00C83F7D">
              <w:rPr>
                <w:b/>
                <w:sz w:val="22"/>
                <w:szCs w:val="22"/>
              </w:rPr>
              <w:t>International calls originated on fixed networks in the UAE by residential Customers</w:t>
            </w:r>
          </w:p>
          <w:p w:rsidR="000B1658" w:rsidRPr="00C83F7D" w:rsidRDefault="000B1658" w:rsidP="00D8210B">
            <w:pPr>
              <w:suppressAutoHyphens/>
              <w:rPr>
                <w:i/>
              </w:rPr>
            </w:pPr>
            <w:r w:rsidRPr="00C83F7D">
              <w:rPr>
                <w:i/>
                <w:sz w:val="22"/>
                <w:szCs w:val="22"/>
              </w:rPr>
              <w:t>Includes international calls made originated on a fixed network by residential Customers as well as international calls made from public payphones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RM4A</w:t>
            </w:r>
          </w:p>
        </w:tc>
        <w:tc>
          <w:tcPr>
            <w:tcW w:w="7080" w:type="dxa"/>
          </w:tcPr>
          <w:p w:rsidR="000B1658" w:rsidRPr="00C83F7D" w:rsidRDefault="000B1658" w:rsidP="00D8210B">
            <w:pPr>
              <w:suppressAutoHyphens/>
              <w:rPr>
                <w:b/>
              </w:rPr>
            </w:pPr>
            <w:r w:rsidRPr="00C83F7D">
              <w:rPr>
                <w:b/>
                <w:sz w:val="22"/>
                <w:szCs w:val="22"/>
              </w:rPr>
              <w:t>International calls originated on fixed networks in the UAE by business Customers</w:t>
            </w:r>
          </w:p>
          <w:p w:rsidR="000B1658" w:rsidRPr="00C83F7D" w:rsidRDefault="000B1658" w:rsidP="00D8210B">
            <w:pPr>
              <w:suppressAutoHyphens/>
              <w:rPr>
                <w:i/>
              </w:rPr>
            </w:pPr>
            <w:r w:rsidRPr="00C83F7D">
              <w:rPr>
                <w:i/>
                <w:sz w:val="22"/>
                <w:szCs w:val="22"/>
              </w:rPr>
              <w:t>Includes international calls made originated on a fixed network by business Customers</w:t>
            </w:r>
            <w:r w:rsidRPr="00C83F7D" w:rsidDel="00047310">
              <w:rPr>
                <w:b/>
                <w:sz w:val="22"/>
                <w:szCs w:val="22"/>
              </w:rPr>
              <w:t xml:space="preserve"> </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RM4B</w:t>
            </w:r>
          </w:p>
        </w:tc>
        <w:tc>
          <w:tcPr>
            <w:tcW w:w="7080" w:type="dxa"/>
          </w:tcPr>
          <w:p w:rsidR="000B1658" w:rsidRPr="00C83F7D" w:rsidRDefault="000B1658" w:rsidP="00D8210B">
            <w:pPr>
              <w:suppressAutoHyphens/>
              <w:rPr>
                <w:b/>
              </w:rPr>
            </w:pPr>
            <w:r w:rsidRPr="00C83F7D">
              <w:rPr>
                <w:b/>
                <w:sz w:val="22"/>
                <w:szCs w:val="22"/>
              </w:rPr>
              <w:t>International calls originated on fixed networks in the UAE by business Customers</w:t>
            </w:r>
          </w:p>
          <w:p w:rsidR="000B1658" w:rsidRPr="00C83F7D" w:rsidRDefault="000B1658" w:rsidP="00D8210B">
            <w:pPr>
              <w:suppressAutoHyphens/>
              <w:rPr>
                <w:i/>
              </w:rPr>
            </w:pPr>
            <w:r w:rsidRPr="00C83F7D">
              <w:rPr>
                <w:i/>
                <w:sz w:val="22"/>
                <w:szCs w:val="22"/>
              </w:rPr>
              <w:t>Includes international calls made originated on a fixed network by business  Customers</w:t>
            </w:r>
            <w:r w:rsidRPr="00C83F7D" w:rsidDel="00047310">
              <w:rPr>
                <w:b/>
                <w:sz w:val="22"/>
                <w:szCs w:val="22"/>
              </w:rPr>
              <w:t xml:space="preserve"> </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RM5</w:t>
            </w:r>
          </w:p>
        </w:tc>
        <w:tc>
          <w:tcPr>
            <w:tcW w:w="7080" w:type="dxa"/>
          </w:tcPr>
          <w:p w:rsidR="000B1658" w:rsidRPr="00C83F7D" w:rsidRDefault="000B1658" w:rsidP="00D8210B">
            <w:pPr>
              <w:suppressAutoHyphens/>
              <w:rPr>
                <w:b/>
              </w:rPr>
            </w:pPr>
            <w:r w:rsidRPr="00C83F7D">
              <w:rPr>
                <w:b/>
                <w:sz w:val="22"/>
                <w:szCs w:val="22"/>
              </w:rPr>
              <w:t>Post-pay retail mobile voice and data services</w:t>
            </w:r>
          </w:p>
          <w:p w:rsidR="000B1658" w:rsidRPr="00C83F7D" w:rsidRDefault="000B1658" w:rsidP="00D8210B">
            <w:pPr>
              <w:suppressAutoHyphens/>
              <w:rPr>
                <w:i/>
              </w:rPr>
            </w:pPr>
            <w:r w:rsidRPr="00C83F7D">
              <w:rPr>
                <w:i/>
                <w:sz w:val="22"/>
                <w:szCs w:val="22"/>
              </w:rPr>
              <w:t>Includes mobile subscriptions, domestic and international call and data (including SMS, MMS, mobile broadband) services provided on mobile networks in the UAE to post-pay Customers</w:t>
            </w:r>
          </w:p>
        </w:tc>
        <w:tc>
          <w:tcPr>
            <w:tcW w:w="1446" w:type="dxa"/>
          </w:tcPr>
          <w:p w:rsidR="000B1658" w:rsidRPr="00C83F7D" w:rsidRDefault="000B1658" w:rsidP="00D8210B">
            <w:pPr>
              <w:suppressAutoHyphens/>
            </w:pPr>
            <w:r w:rsidRPr="00C83F7D">
              <w:rPr>
                <w:sz w:val="22"/>
                <w:szCs w:val="22"/>
              </w:rPr>
              <w:t>All post-pay Customers</w:t>
            </w:r>
          </w:p>
        </w:tc>
        <w:tc>
          <w:tcPr>
            <w:tcW w:w="5022" w:type="dxa"/>
          </w:tcPr>
          <w:p w:rsidR="000B1658" w:rsidRPr="00C83F7D" w:rsidRDefault="000B1658" w:rsidP="00D8210B">
            <w:pPr>
              <w:suppressAutoHyphens/>
            </w:pPr>
            <w:r w:rsidRPr="00C83F7D">
              <w:rPr>
                <w:sz w:val="22"/>
                <w:szCs w:val="22"/>
              </w:rPr>
              <w:t>National</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lastRenderedPageBreak/>
              <w:t>RM6</w:t>
            </w:r>
          </w:p>
        </w:tc>
        <w:tc>
          <w:tcPr>
            <w:tcW w:w="7080" w:type="dxa"/>
          </w:tcPr>
          <w:p w:rsidR="000B1658" w:rsidRPr="00C83F7D" w:rsidRDefault="000B1658" w:rsidP="00D8210B">
            <w:pPr>
              <w:suppressAutoHyphens/>
              <w:rPr>
                <w:b/>
              </w:rPr>
            </w:pPr>
            <w:r w:rsidRPr="00C83F7D">
              <w:rPr>
                <w:b/>
                <w:sz w:val="22"/>
                <w:szCs w:val="22"/>
              </w:rPr>
              <w:t>Pre-pay retail mobile voice and data services</w:t>
            </w:r>
          </w:p>
          <w:p w:rsidR="000B1658" w:rsidRPr="00C83F7D" w:rsidRDefault="000B1658" w:rsidP="00D8210B">
            <w:pPr>
              <w:suppressAutoHyphens/>
              <w:rPr>
                <w:i/>
              </w:rPr>
            </w:pPr>
            <w:r w:rsidRPr="00C83F7D">
              <w:rPr>
                <w:i/>
                <w:sz w:val="22"/>
                <w:szCs w:val="22"/>
              </w:rPr>
              <w:t>Includes mobile connections, domestic and international call and data (including SMS. MMS, mobile broadband) services provided on mobile networks in the UAE to pre-pay Customers</w:t>
            </w:r>
          </w:p>
        </w:tc>
        <w:tc>
          <w:tcPr>
            <w:tcW w:w="1446" w:type="dxa"/>
          </w:tcPr>
          <w:p w:rsidR="000B1658" w:rsidRPr="00C83F7D" w:rsidRDefault="000B1658" w:rsidP="00D8210B">
            <w:pPr>
              <w:suppressAutoHyphens/>
            </w:pPr>
            <w:r w:rsidRPr="00C83F7D">
              <w:rPr>
                <w:sz w:val="22"/>
                <w:szCs w:val="22"/>
              </w:rPr>
              <w:t>All pre-pay Customers</w:t>
            </w:r>
          </w:p>
        </w:tc>
        <w:tc>
          <w:tcPr>
            <w:tcW w:w="5022" w:type="dxa"/>
          </w:tcPr>
          <w:p w:rsidR="000B1658" w:rsidRPr="00C83F7D" w:rsidRDefault="000B1658" w:rsidP="00D8210B">
            <w:pPr>
              <w:suppressAutoHyphens/>
            </w:pPr>
            <w:r w:rsidRPr="00C83F7D">
              <w:rPr>
                <w:sz w:val="22"/>
                <w:szCs w:val="22"/>
              </w:rPr>
              <w:t>National</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RM7A</w:t>
            </w:r>
          </w:p>
        </w:tc>
        <w:tc>
          <w:tcPr>
            <w:tcW w:w="7080" w:type="dxa"/>
          </w:tcPr>
          <w:p w:rsidR="000B1658" w:rsidRPr="00C83F7D" w:rsidRDefault="000B1658" w:rsidP="00D8210B">
            <w:pPr>
              <w:suppressAutoHyphens/>
              <w:rPr>
                <w:b/>
              </w:rPr>
            </w:pPr>
            <w:r w:rsidRPr="00C83F7D">
              <w:rPr>
                <w:b/>
                <w:sz w:val="22"/>
                <w:szCs w:val="22"/>
              </w:rPr>
              <w:t>Fixed residential broadband access services</w:t>
            </w:r>
          </w:p>
          <w:p w:rsidR="000B1658" w:rsidRPr="00C83F7D" w:rsidRDefault="000B1658" w:rsidP="00D8210B">
            <w:pPr>
              <w:suppressAutoHyphens/>
              <w:rPr>
                <w:i/>
              </w:rPr>
            </w:pPr>
            <w:r w:rsidRPr="00C83F7D">
              <w:rPr>
                <w:i/>
                <w:sz w:val="22"/>
                <w:szCs w:val="22"/>
              </w:rPr>
              <w:t>Includes broadband internet access, as well as provision of bundled services including broadband access (e.g. Voice+ Internet+ IPTV</w:t>
            </w:r>
            <w:r>
              <w:rPr>
                <w:i/>
                <w:sz w:val="22"/>
                <w:szCs w:val="22"/>
              </w:rPr>
              <w:t>)</w:t>
            </w:r>
            <w:r w:rsidRPr="00C83F7D">
              <w:rPr>
                <w:i/>
                <w:sz w:val="22"/>
                <w:szCs w:val="22"/>
              </w:rPr>
              <w:t>, provided over fixed networks to residential Customers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RM7B</w:t>
            </w:r>
          </w:p>
        </w:tc>
        <w:tc>
          <w:tcPr>
            <w:tcW w:w="7080" w:type="dxa"/>
          </w:tcPr>
          <w:p w:rsidR="000B1658" w:rsidRPr="00C83F7D" w:rsidRDefault="000B1658" w:rsidP="00D8210B">
            <w:pPr>
              <w:suppressAutoHyphens/>
              <w:rPr>
                <w:b/>
              </w:rPr>
            </w:pPr>
            <w:r w:rsidRPr="00C83F7D">
              <w:rPr>
                <w:b/>
                <w:sz w:val="22"/>
                <w:szCs w:val="22"/>
              </w:rPr>
              <w:t>Fixed residential broadband access services</w:t>
            </w:r>
          </w:p>
          <w:p w:rsidR="000B1658" w:rsidRPr="00C83F7D" w:rsidRDefault="000B1658" w:rsidP="00D8210B">
            <w:pPr>
              <w:suppressAutoHyphens/>
            </w:pPr>
            <w:r w:rsidRPr="00C83F7D">
              <w:rPr>
                <w:i/>
                <w:sz w:val="22"/>
                <w:szCs w:val="22"/>
              </w:rPr>
              <w:t>Includes broadband internet access, as well as provision of bundled services including broadband access (e.g. Voice+ Internet+ IPTV), provided over fixed networks to residential Customers</w:t>
            </w:r>
          </w:p>
        </w:tc>
        <w:tc>
          <w:tcPr>
            <w:tcW w:w="1446" w:type="dxa"/>
          </w:tcPr>
          <w:p w:rsidR="000B1658" w:rsidRPr="00C83F7D" w:rsidRDefault="000B1658" w:rsidP="00D8210B">
            <w:pPr>
              <w:suppressAutoHyphens/>
            </w:pPr>
            <w:r w:rsidRPr="00C83F7D">
              <w:rPr>
                <w:sz w:val="22"/>
                <w:szCs w:val="22"/>
              </w:rPr>
              <w:t>Residential</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RM8A</w:t>
            </w:r>
          </w:p>
        </w:tc>
        <w:tc>
          <w:tcPr>
            <w:tcW w:w="7080" w:type="dxa"/>
          </w:tcPr>
          <w:p w:rsidR="000B1658" w:rsidRPr="00C83F7D" w:rsidRDefault="000B1658" w:rsidP="00D8210B">
            <w:pPr>
              <w:suppressAutoHyphens/>
              <w:rPr>
                <w:b/>
              </w:rPr>
            </w:pPr>
            <w:r w:rsidRPr="00C83F7D">
              <w:rPr>
                <w:b/>
                <w:sz w:val="22"/>
                <w:szCs w:val="22"/>
              </w:rPr>
              <w:t>Fixed business broadband access services</w:t>
            </w:r>
          </w:p>
          <w:p w:rsidR="000B1658" w:rsidRPr="00C83F7D" w:rsidRDefault="000B1658" w:rsidP="00D8210B">
            <w:pPr>
              <w:suppressAutoHyphens/>
              <w:rPr>
                <w:i/>
              </w:rPr>
            </w:pPr>
            <w:r w:rsidRPr="00C83F7D">
              <w:rPr>
                <w:i/>
                <w:sz w:val="22"/>
                <w:szCs w:val="22"/>
              </w:rPr>
              <w:t>Includes broadband internet access (including dedicated internet access), as well as provision of bundled services including broadband access (e.g. Voice+ Internet+ IPTV), provided over fixed networks to business Customers</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RM8B</w:t>
            </w:r>
          </w:p>
        </w:tc>
        <w:tc>
          <w:tcPr>
            <w:tcW w:w="7080" w:type="dxa"/>
          </w:tcPr>
          <w:p w:rsidR="000B1658" w:rsidRPr="00C83F7D" w:rsidRDefault="000B1658" w:rsidP="00D8210B">
            <w:pPr>
              <w:suppressAutoHyphens/>
              <w:rPr>
                <w:b/>
              </w:rPr>
            </w:pPr>
            <w:r w:rsidRPr="00C83F7D">
              <w:rPr>
                <w:b/>
                <w:sz w:val="22"/>
                <w:szCs w:val="22"/>
              </w:rPr>
              <w:t>Fixed business broadband access services</w:t>
            </w:r>
          </w:p>
          <w:p w:rsidR="000B1658" w:rsidRPr="00C83F7D" w:rsidRDefault="000B1658" w:rsidP="00D8210B">
            <w:pPr>
              <w:suppressAutoHyphens/>
            </w:pPr>
            <w:r w:rsidRPr="00C83F7D">
              <w:rPr>
                <w:i/>
                <w:sz w:val="22"/>
                <w:szCs w:val="22"/>
              </w:rPr>
              <w:t>Includes broadband internet access (including dedicated internet access), as well as provision of bundled services including broadband access (e.g. Voice+ Internet+ IPTV), provided over fixed networks to business Customers</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t>RM9A</w:t>
            </w:r>
          </w:p>
        </w:tc>
        <w:tc>
          <w:tcPr>
            <w:tcW w:w="7080" w:type="dxa"/>
          </w:tcPr>
          <w:p w:rsidR="000B1658" w:rsidRPr="00C83F7D" w:rsidRDefault="000B1658" w:rsidP="00D8210B">
            <w:pPr>
              <w:suppressAutoHyphens/>
              <w:rPr>
                <w:b/>
              </w:rPr>
            </w:pPr>
            <w:r w:rsidRPr="00C83F7D">
              <w:rPr>
                <w:b/>
                <w:sz w:val="22"/>
                <w:szCs w:val="22"/>
              </w:rPr>
              <w:t>Business connectivity services</w:t>
            </w:r>
          </w:p>
          <w:p w:rsidR="000B1658" w:rsidRPr="00C83F7D" w:rsidRDefault="000B1658" w:rsidP="00D8210B">
            <w:pPr>
              <w:suppressAutoHyphens/>
              <w:rPr>
                <w:i/>
              </w:rPr>
            </w:pPr>
            <w:r w:rsidRPr="00C83F7D">
              <w:rPr>
                <w:i/>
                <w:sz w:val="22"/>
                <w:szCs w:val="22"/>
              </w:rPr>
              <w:t>Includes physical and virtual leased lines encompassing both point to point and multipoint services</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Etisalat provides direct fixed network connections to Customers</w:t>
            </w:r>
          </w:p>
        </w:tc>
      </w:tr>
      <w:tr w:rsidR="000B1658" w:rsidRPr="00C83F7D" w:rsidTr="002855D2">
        <w:trPr>
          <w:cantSplit/>
        </w:trPr>
        <w:tc>
          <w:tcPr>
            <w:tcW w:w="1068" w:type="dxa"/>
          </w:tcPr>
          <w:p w:rsidR="000B1658" w:rsidRPr="00C83F7D" w:rsidRDefault="000B1658" w:rsidP="00D8210B">
            <w:pPr>
              <w:suppressAutoHyphens/>
            </w:pPr>
            <w:r w:rsidRPr="00C83F7D">
              <w:rPr>
                <w:sz w:val="22"/>
                <w:szCs w:val="22"/>
              </w:rPr>
              <w:lastRenderedPageBreak/>
              <w:t>RM9B</w:t>
            </w:r>
          </w:p>
        </w:tc>
        <w:tc>
          <w:tcPr>
            <w:tcW w:w="7080" w:type="dxa"/>
          </w:tcPr>
          <w:p w:rsidR="000B1658" w:rsidRPr="00C83F7D" w:rsidRDefault="000B1658" w:rsidP="00D8210B">
            <w:pPr>
              <w:suppressAutoHyphens/>
              <w:rPr>
                <w:b/>
              </w:rPr>
            </w:pPr>
            <w:r w:rsidRPr="00C83F7D">
              <w:rPr>
                <w:b/>
                <w:sz w:val="22"/>
                <w:szCs w:val="22"/>
              </w:rPr>
              <w:t>Business connectivity services</w:t>
            </w:r>
          </w:p>
          <w:p w:rsidR="000B1658" w:rsidRPr="00C83F7D" w:rsidRDefault="000B1658" w:rsidP="00D8210B">
            <w:pPr>
              <w:suppressAutoHyphens/>
            </w:pPr>
            <w:r w:rsidRPr="00C83F7D">
              <w:rPr>
                <w:i/>
                <w:sz w:val="22"/>
                <w:szCs w:val="22"/>
              </w:rPr>
              <w:t>Includes physical and virtual leased lines encompassing both point to point and multipoint services</w:t>
            </w:r>
          </w:p>
        </w:tc>
        <w:tc>
          <w:tcPr>
            <w:tcW w:w="1446" w:type="dxa"/>
          </w:tcPr>
          <w:p w:rsidR="000B1658" w:rsidRPr="00C83F7D" w:rsidRDefault="000B1658" w:rsidP="00D8210B">
            <w:pPr>
              <w:suppressAutoHyphens/>
            </w:pPr>
            <w:r w:rsidRPr="00C83F7D">
              <w:rPr>
                <w:sz w:val="22"/>
                <w:szCs w:val="22"/>
              </w:rPr>
              <w:t>Business</w:t>
            </w:r>
          </w:p>
        </w:tc>
        <w:tc>
          <w:tcPr>
            <w:tcW w:w="5022" w:type="dxa"/>
          </w:tcPr>
          <w:p w:rsidR="000B1658" w:rsidRPr="00C83F7D" w:rsidRDefault="000B1658" w:rsidP="00D8210B">
            <w:pPr>
              <w:suppressAutoHyphens/>
            </w:pPr>
            <w:r w:rsidRPr="00C83F7D">
              <w:rPr>
                <w:sz w:val="22"/>
                <w:szCs w:val="22"/>
              </w:rPr>
              <w:t>That part of the UAE where du provides direct fixed network connections to Customers</w:t>
            </w:r>
          </w:p>
        </w:tc>
      </w:tr>
    </w:tbl>
    <w:p w:rsidR="000B1658" w:rsidRDefault="000B1658"/>
    <w:p w:rsidR="000B1658" w:rsidRPr="000B1658" w:rsidRDefault="000B1658" w:rsidP="000B1658"/>
    <w:p w:rsidR="000B1658" w:rsidRPr="008561F2" w:rsidRDefault="000B1658" w:rsidP="000B1658">
      <w:pPr>
        <w:pStyle w:val="Heading2"/>
        <w:numPr>
          <w:ilvl w:val="0"/>
          <w:numId w:val="0"/>
        </w:numPr>
        <w:ind w:left="1560"/>
        <w:jc w:val="both"/>
        <w:rPr>
          <w:b/>
          <w:lang w:val="en-GB"/>
        </w:rPr>
      </w:pPr>
      <w:r w:rsidRPr="008561F2">
        <w:rPr>
          <w:b/>
          <w:lang w:val="en-GB"/>
        </w:rPr>
        <w:t xml:space="preserve">Relevant Markets for </w:t>
      </w:r>
      <w:r>
        <w:rPr>
          <w:b/>
          <w:lang w:val="en-GB"/>
        </w:rPr>
        <w:t>Wholesale</w:t>
      </w:r>
      <w:r w:rsidRPr="008561F2">
        <w:rPr>
          <w:b/>
          <w:lang w:val="en-GB"/>
        </w:rPr>
        <w:t xml:space="preserve"> </w:t>
      </w:r>
      <w:r>
        <w:rPr>
          <w:b/>
          <w:lang w:val="en-GB"/>
        </w:rPr>
        <w:t>Telecommunication Services and related products</w:t>
      </w:r>
    </w:p>
    <w:p w:rsidR="000B1658" w:rsidRPr="008561F2" w:rsidRDefault="000B1658" w:rsidP="000B1658">
      <w:pPr>
        <w:suppressAutoHyphens/>
      </w:pPr>
    </w:p>
    <w:p w:rsidR="000B1658" w:rsidRDefault="000B1658" w:rsidP="000B1658">
      <w:pPr>
        <w:pStyle w:val="Heading2"/>
        <w:jc w:val="both"/>
        <w:rPr>
          <w:lang w:val="en-GB"/>
        </w:rPr>
      </w:pPr>
      <w:r w:rsidRPr="008561F2">
        <w:rPr>
          <w:lang w:val="en-GB"/>
        </w:rPr>
        <w:t xml:space="preserve">The following table sets out the </w:t>
      </w:r>
      <w:r>
        <w:rPr>
          <w:lang w:val="en-GB"/>
        </w:rPr>
        <w:t xml:space="preserve">list of </w:t>
      </w:r>
      <w:r w:rsidRPr="008561F2">
        <w:rPr>
          <w:lang w:val="en-GB"/>
        </w:rPr>
        <w:t xml:space="preserve">Relevant Markets </w:t>
      </w:r>
      <w:r>
        <w:rPr>
          <w:lang w:val="en-GB"/>
        </w:rPr>
        <w:t xml:space="preserve">for Wholesale Telecommunication Services and related products </w:t>
      </w:r>
      <w:r w:rsidRPr="008561F2">
        <w:rPr>
          <w:lang w:val="en-GB"/>
        </w:rPr>
        <w:t xml:space="preserve">defined by </w:t>
      </w:r>
      <w:r>
        <w:rPr>
          <w:lang w:val="en-GB"/>
        </w:rPr>
        <w:t>the TRA</w:t>
      </w:r>
      <w:r w:rsidRPr="008561F2">
        <w:rPr>
          <w:lang w:val="en-GB"/>
        </w:rPr>
        <w:t xml:space="preserve"> in this </w:t>
      </w:r>
      <w:r>
        <w:rPr>
          <w:lang w:val="en-GB"/>
        </w:rPr>
        <w:t>Determination</w:t>
      </w:r>
      <w:r w:rsidRPr="008561F2">
        <w:rPr>
          <w:lang w:val="en-GB"/>
        </w:rPr>
        <w:t xml:space="preserve">. </w:t>
      </w:r>
    </w:p>
    <w:p w:rsidR="000B1658" w:rsidRDefault="000B1658">
      <w:pPr>
        <w:rPr>
          <w:lang w:val="en-US"/>
        </w:rPr>
      </w:pPr>
    </w:p>
    <w:p w:rsidR="000B1658" w:rsidRDefault="000B1658">
      <w:pPr>
        <w:rPr>
          <w:lang w:val="en-US"/>
        </w:rPr>
      </w:pPr>
    </w:p>
    <w:tbl>
      <w:tblPr>
        <w:tblW w:w="14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42"/>
        <w:gridCol w:w="6906"/>
        <w:gridCol w:w="1446"/>
        <w:gridCol w:w="5022"/>
      </w:tblGrid>
      <w:tr w:rsidR="000B1658" w:rsidRPr="00646422" w:rsidTr="00D8210B">
        <w:trPr>
          <w:tblHeader/>
        </w:trPr>
        <w:tc>
          <w:tcPr>
            <w:tcW w:w="1242" w:type="dxa"/>
            <w:shd w:val="solid" w:color="7F7F7F" w:fill="FFFFFF"/>
          </w:tcPr>
          <w:p w:rsidR="000B1658" w:rsidRPr="00646422" w:rsidRDefault="000B1658" w:rsidP="00D8210B">
            <w:pPr>
              <w:suppressAutoHyphens/>
              <w:rPr>
                <w:b/>
                <w:bCs/>
                <w:color w:val="FFFFFF"/>
              </w:rPr>
            </w:pPr>
            <w:r w:rsidRPr="00646422">
              <w:rPr>
                <w:b/>
                <w:bCs/>
                <w:color w:val="FFFFFF"/>
                <w:sz w:val="22"/>
              </w:rPr>
              <w:t>Market number</w:t>
            </w:r>
          </w:p>
        </w:tc>
        <w:tc>
          <w:tcPr>
            <w:tcW w:w="6906" w:type="dxa"/>
            <w:shd w:val="solid" w:color="7F7F7F" w:fill="FFFFFF"/>
          </w:tcPr>
          <w:p w:rsidR="000B1658" w:rsidRPr="00646422" w:rsidRDefault="000B1658" w:rsidP="00D8210B">
            <w:pPr>
              <w:suppressAutoHyphens/>
              <w:rPr>
                <w:b/>
                <w:bCs/>
                <w:color w:val="FFFFFF"/>
              </w:rPr>
            </w:pPr>
            <w:r w:rsidRPr="00646422">
              <w:rPr>
                <w:b/>
                <w:bCs/>
                <w:color w:val="FFFFFF"/>
                <w:sz w:val="22"/>
              </w:rPr>
              <w:t xml:space="preserve">Telecommunication Services and related products </w:t>
            </w:r>
          </w:p>
        </w:tc>
        <w:tc>
          <w:tcPr>
            <w:tcW w:w="1446" w:type="dxa"/>
            <w:shd w:val="solid" w:color="7F7F7F" w:fill="FFFFFF"/>
          </w:tcPr>
          <w:p w:rsidR="000B1658" w:rsidRPr="00646422" w:rsidRDefault="000B1658" w:rsidP="00D8210B">
            <w:pPr>
              <w:suppressAutoHyphens/>
              <w:rPr>
                <w:b/>
                <w:bCs/>
                <w:color w:val="FFFFFF"/>
              </w:rPr>
            </w:pPr>
            <w:r w:rsidRPr="00646422">
              <w:rPr>
                <w:b/>
                <w:bCs/>
                <w:color w:val="FFFFFF"/>
                <w:sz w:val="22"/>
              </w:rPr>
              <w:t>Customer group</w:t>
            </w:r>
          </w:p>
        </w:tc>
        <w:tc>
          <w:tcPr>
            <w:tcW w:w="5022" w:type="dxa"/>
            <w:shd w:val="solid" w:color="7F7F7F" w:fill="FFFFFF"/>
          </w:tcPr>
          <w:p w:rsidR="000B1658" w:rsidRPr="00646422" w:rsidRDefault="000B1658" w:rsidP="00D8210B">
            <w:pPr>
              <w:suppressAutoHyphens/>
              <w:rPr>
                <w:b/>
                <w:bCs/>
                <w:color w:val="FFFFFF"/>
              </w:rPr>
            </w:pPr>
            <w:r w:rsidRPr="00646422">
              <w:rPr>
                <w:b/>
                <w:bCs/>
                <w:color w:val="FFFFFF"/>
                <w:sz w:val="22"/>
              </w:rPr>
              <w:t>Geographic market definition</w:t>
            </w:r>
          </w:p>
        </w:tc>
      </w:tr>
      <w:tr w:rsidR="000B1658" w:rsidRPr="008561F2" w:rsidTr="00D8210B">
        <w:tc>
          <w:tcPr>
            <w:tcW w:w="1242" w:type="dxa"/>
          </w:tcPr>
          <w:p w:rsidR="000B1658" w:rsidRPr="008561F2" w:rsidRDefault="000B1658" w:rsidP="00D8210B">
            <w:pPr>
              <w:suppressAutoHyphens/>
            </w:pPr>
            <w:r w:rsidRPr="008561F2">
              <w:rPr>
                <w:sz w:val="22"/>
              </w:rPr>
              <w:t>WM 1A</w:t>
            </w:r>
            <w:r>
              <w:rPr>
                <w:rStyle w:val="FootnoteReference"/>
                <w:sz w:val="22"/>
              </w:rPr>
              <w:footnoteReference w:id="4"/>
            </w:r>
          </w:p>
        </w:tc>
        <w:tc>
          <w:tcPr>
            <w:tcW w:w="6906" w:type="dxa"/>
          </w:tcPr>
          <w:p w:rsidR="000B1658" w:rsidRPr="008561F2" w:rsidRDefault="000B1658" w:rsidP="00D8210B">
            <w:pPr>
              <w:suppressAutoHyphens/>
              <w:rPr>
                <w:b/>
              </w:rPr>
            </w:pPr>
            <w:r w:rsidRPr="008561F2">
              <w:rPr>
                <w:b/>
                <w:sz w:val="22"/>
              </w:rPr>
              <w:t>Fixed call termination on Etisalat’s network</w:t>
            </w:r>
          </w:p>
          <w:p w:rsidR="000B1658" w:rsidRPr="008561F2" w:rsidRDefault="000B1658" w:rsidP="00D8210B">
            <w:pPr>
              <w:suppressAutoHyphens/>
              <w:rPr>
                <w:i/>
              </w:rPr>
            </w:pPr>
            <w:r w:rsidRPr="008561F2">
              <w:rPr>
                <w:i/>
                <w:sz w:val="22"/>
              </w:rPr>
              <w:t xml:space="preserve">Includes all fixed network call termination provided on Etisalat’s </w:t>
            </w:r>
            <w:r>
              <w:rPr>
                <w:i/>
                <w:sz w:val="22"/>
              </w:rPr>
              <w:t xml:space="preserve">fixed </w:t>
            </w:r>
            <w:r w:rsidRPr="008561F2">
              <w:rPr>
                <w:i/>
                <w:sz w:val="22"/>
              </w:rPr>
              <w:t>network</w:t>
            </w:r>
          </w:p>
        </w:tc>
        <w:tc>
          <w:tcPr>
            <w:tcW w:w="1446" w:type="dxa"/>
          </w:tcPr>
          <w:p w:rsidR="000B1658" w:rsidRPr="0012269E" w:rsidRDefault="000B1658" w:rsidP="00D8210B">
            <w:pPr>
              <w:suppressAutoHyphens/>
            </w:pPr>
            <w:r w:rsidRPr="008561F2">
              <w:rPr>
                <w:sz w:val="22"/>
              </w:rPr>
              <w:t xml:space="preserve">All </w:t>
            </w:r>
            <w:r>
              <w:rPr>
                <w:sz w:val="22"/>
              </w:rPr>
              <w:t>Customers</w:t>
            </w:r>
          </w:p>
        </w:tc>
        <w:tc>
          <w:tcPr>
            <w:tcW w:w="5022" w:type="dxa"/>
          </w:tcPr>
          <w:p w:rsidR="000B1658" w:rsidRPr="008561F2" w:rsidRDefault="000B1658" w:rsidP="00D8210B">
            <w:pPr>
              <w:suppressAutoHyphens/>
            </w:pPr>
            <w:r>
              <w:rPr>
                <w:sz w:val="22"/>
              </w:rPr>
              <w:t>National</w:t>
            </w:r>
          </w:p>
        </w:tc>
      </w:tr>
      <w:tr w:rsidR="000B1658" w:rsidRPr="008561F2" w:rsidTr="00D8210B">
        <w:tc>
          <w:tcPr>
            <w:tcW w:w="1242" w:type="dxa"/>
          </w:tcPr>
          <w:p w:rsidR="000B1658" w:rsidRPr="008561F2" w:rsidRDefault="000B1658" w:rsidP="00D8210B">
            <w:pPr>
              <w:suppressAutoHyphens/>
            </w:pPr>
            <w:r w:rsidRPr="008561F2">
              <w:rPr>
                <w:sz w:val="22"/>
              </w:rPr>
              <w:t>WM 1B</w:t>
            </w:r>
          </w:p>
        </w:tc>
        <w:tc>
          <w:tcPr>
            <w:tcW w:w="6906" w:type="dxa"/>
          </w:tcPr>
          <w:p w:rsidR="000B1658" w:rsidRPr="008561F2" w:rsidRDefault="000B1658" w:rsidP="00D8210B">
            <w:pPr>
              <w:suppressAutoHyphens/>
              <w:rPr>
                <w:b/>
              </w:rPr>
            </w:pPr>
            <w:r w:rsidRPr="008561F2">
              <w:rPr>
                <w:b/>
                <w:sz w:val="22"/>
              </w:rPr>
              <w:t xml:space="preserve">Fixed call termination on </w:t>
            </w:r>
            <w:proofErr w:type="spellStart"/>
            <w:r w:rsidRPr="008561F2">
              <w:rPr>
                <w:b/>
                <w:sz w:val="22"/>
              </w:rPr>
              <w:t>du’s</w:t>
            </w:r>
            <w:proofErr w:type="spellEnd"/>
            <w:r w:rsidRPr="008561F2">
              <w:rPr>
                <w:b/>
                <w:sz w:val="22"/>
              </w:rPr>
              <w:t xml:space="preserve"> network</w:t>
            </w:r>
          </w:p>
          <w:p w:rsidR="000B1658" w:rsidRPr="008561F2" w:rsidRDefault="000B1658" w:rsidP="00D8210B">
            <w:pPr>
              <w:suppressAutoHyphens/>
              <w:rPr>
                <w:i/>
              </w:rPr>
            </w:pPr>
            <w:r w:rsidRPr="008561F2">
              <w:rPr>
                <w:i/>
                <w:sz w:val="22"/>
              </w:rPr>
              <w:t xml:space="preserve">Includes all fixed network call termination provided on </w:t>
            </w:r>
            <w:proofErr w:type="spellStart"/>
            <w:r w:rsidRPr="008561F2">
              <w:rPr>
                <w:i/>
                <w:sz w:val="22"/>
              </w:rPr>
              <w:t>du’s</w:t>
            </w:r>
            <w:proofErr w:type="spellEnd"/>
            <w:r w:rsidRPr="008561F2">
              <w:rPr>
                <w:i/>
                <w:sz w:val="22"/>
              </w:rPr>
              <w:t xml:space="preserve"> </w:t>
            </w:r>
            <w:r>
              <w:rPr>
                <w:i/>
                <w:sz w:val="22"/>
              </w:rPr>
              <w:t xml:space="preserve">fixed </w:t>
            </w:r>
            <w:r w:rsidRPr="008561F2">
              <w:rPr>
                <w:i/>
                <w:sz w:val="22"/>
              </w:rPr>
              <w:t>network</w:t>
            </w:r>
          </w:p>
        </w:tc>
        <w:tc>
          <w:tcPr>
            <w:tcW w:w="1446" w:type="dxa"/>
          </w:tcPr>
          <w:p w:rsidR="000B1658" w:rsidRPr="0012269E" w:rsidRDefault="000B1658" w:rsidP="00D8210B">
            <w:pPr>
              <w:suppressAutoHyphens/>
            </w:pPr>
            <w:r w:rsidRPr="008561F2">
              <w:rPr>
                <w:sz w:val="22"/>
              </w:rPr>
              <w:t xml:space="preserve">All </w:t>
            </w:r>
            <w:r>
              <w:rPr>
                <w:sz w:val="22"/>
              </w:rPr>
              <w:t>Customers</w:t>
            </w:r>
          </w:p>
        </w:tc>
        <w:tc>
          <w:tcPr>
            <w:tcW w:w="5022" w:type="dxa"/>
          </w:tcPr>
          <w:p w:rsidR="000B1658" w:rsidRPr="008561F2" w:rsidRDefault="000B1658" w:rsidP="00D8210B">
            <w:pPr>
              <w:suppressAutoHyphens/>
            </w:pPr>
            <w:r>
              <w:rPr>
                <w:sz w:val="22"/>
              </w:rPr>
              <w:t>National</w:t>
            </w:r>
          </w:p>
        </w:tc>
      </w:tr>
      <w:tr w:rsidR="000B1658" w:rsidRPr="008561F2" w:rsidTr="00D8210B">
        <w:tc>
          <w:tcPr>
            <w:tcW w:w="1242" w:type="dxa"/>
          </w:tcPr>
          <w:p w:rsidR="000B1658" w:rsidRPr="008561F2" w:rsidRDefault="000B1658" w:rsidP="00D8210B">
            <w:pPr>
              <w:suppressAutoHyphens/>
            </w:pPr>
            <w:r w:rsidRPr="008561F2">
              <w:rPr>
                <w:sz w:val="22"/>
              </w:rPr>
              <w:t>WM 2A</w:t>
            </w:r>
          </w:p>
        </w:tc>
        <w:tc>
          <w:tcPr>
            <w:tcW w:w="6906" w:type="dxa"/>
          </w:tcPr>
          <w:p w:rsidR="000B1658" w:rsidRPr="008561F2" w:rsidRDefault="000B1658" w:rsidP="00D8210B">
            <w:pPr>
              <w:suppressAutoHyphens/>
              <w:rPr>
                <w:b/>
              </w:rPr>
            </w:pPr>
            <w:r>
              <w:rPr>
                <w:b/>
                <w:sz w:val="22"/>
              </w:rPr>
              <w:t>Mobile call and data t</w:t>
            </w:r>
            <w:r w:rsidRPr="008561F2">
              <w:rPr>
                <w:b/>
                <w:sz w:val="22"/>
              </w:rPr>
              <w:t>ermination on Etisalat’s mobile network</w:t>
            </w:r>
          </w:p>
          <w:p w:rsidR="000B1658" w:rsidRPr="008561F2" w:rsidRDefault="000B1658" w:rsidP="00D8210B">
            <w:pPr>
              <w:suppressAutoHyphens/>
              <w:rPr>
                <w:i/>
              </w:rPr>
            </w:pPr>
            <w:r w:rsidRPr="008561F2">
              <w:rPr>
                <w:i/>
                <w:sz w:val="22"/>
              </w:rPr>
              <w:t xml:space="preserve">Includes termination of voice calls and messaging services on Etisalat’s </w:t>
            </w:r>
            <w:r>
              <w:rPr>
                <w:i/>
                <w:sz w:val="22"/>
              </w:rPr>
              <w:t xml:space="preserve">mobile </w:t>
            </w:r>
            <w:r w:rsidRPr="008561F2">
              <w:rPr>
                <w:i/>
                <w:sz w:val="22"/>
              </w:rPr>
              <w:t>network</w:t>
            </w:r>
          </w:p>
        </w:tc>
        <w:tc>
          <w:tcPr>
            <w:tcW w:w="1446" w:type="dxa"/>
          </w:tcPr>
          <w:p w:rsidR="000B1658" w:rsidRPr="0012269E" w:rsidRDefault="000B1658" w:rsidP="00D8210B">
            <w:pPr>
              <w:suppressAutoHyphens/>
            </w:pPr>
            <w:r w:rsidRPr="008561F2">
              <w:rPr>
                <w:sz w:val="22"/>
              </w:rPr>
              <w:t xml:space="preserve">All </w:t>
            </w:r>
            <w:r>
              <w:rPr>
                <w:sz w:val="22"/>
              </w:rPr>
              <w:t>Customers</w:t>
            </w:r>
          </w:p>
        </w:tc>
        <w:tc>
          <w:tcPr>
            <w:tcW w:w="5022" w:type="dxa"/>
          </w:tcPr>
          <w:p w:rsidR="000B1658" w:rsidRPr="008561F2" w:rsidRDefault="000B1658" w:rsidP="00D8210B">
            <w:pPr>
              <w:suppressAutoHyphens/>
            </w:pPr>
            <w:r>
              <w:rPr>
                <w:sz w:val="22"/>
              </w:rPr>
              <w:t>National</w:t>
            </w:r>
          </w:p>
        </w:tc>
      </w:tr>
      <w:tr w:rsidR="000B1658" w:rsidRPr="008561F2" w:rsidTr="00D8210B">
        <w:tc>
          <w:tcPr>
            <w:tcW w:w="1242" w:type="dxa"/>
          </w:tcPr>
          <w:p w:rsidR="000B1658" w:rsidRPr="008561F2" w:rsidRDefault="000B1658" w:rsidP="00D8210B">
            <w:pPr>
              <w:suppressAutoHyphens/>
            </w:pPr>
            <w:r w:rsidRPr="008561F2">
              <w:rPr>
                <w:sz w:val="22"/>
              </w:rPr>
              <w:t>WM 2B</w:t>
            </w:r>
          </w:p>
        </w:tc>
        <w:tc>
          <w:tcPr>
            <w:tcW w:w="6906" w:type="dxa"/>
          </w:tcPr>
          <w:p w:rsidR="000B1658" w:rsidRPr="008561F2" w:rsidRDefault="000B1658" w:rsidP="00D8210B">
            <w:pPr>
              <w:suppressAutoHyphens/>
              <w:rPr>
                <w:b/>
              </w:rPr>
            </w:pPr>
            <w:r>
              <w:rPr>
                <w:b/>
                <w:sz w:val="22"/>
              </w:rPr>
              <w:t>Mobile call and data t</w:t>
            </w:r>
            <w:r w:rsidRPr="008561F2">
              <w:rPr>
                <w:b/>
                <w:sz w:val="22"/>
              </w:rPr>
              <w:t xml:space="preserve">ermination on </w:t>
            </w:r>
            <w:proofErr w:type="spellStart"/>
            <w:r w:rsidRPr="008561F2">
              <w:rPr>
                <w:b/>
                <w:sz w:val="22"/>
              </w:rPr>
              <w:t>du’s</w:t>
            </w:r>
            <w:proofErr w:type="spellEnd"/>
            <w:r w:rsidRPr="008561F2">
              <w:rPr>
                <w:b/>
                <w:sz w:val="22"/>
              </w:rPr>
              <w:t xml:space="preserve"> mobile network</w:t>
            </w:r>
          </w:p>
          <w:p w:rsidR="000B1658" w:rsidRPr="008561F2" w:rsidRDefault="000B1658" w:rsidP="00D8210B">
            <w:pPr>
              <w:suppressAutoHyphens/>
              <w:rPr>
                <w:i/>
              </w:rPr>
            </w:pPr>
            <w:r w:rsidRPr="008561F2">
              <w:rPr>
                <w:i/>
                <w:sz w:val="22"/>
              </w:rPr>
              <w:t xml:space="preserve">Includes termination of voice calls and messaging services on </w:t>
            </w:r>
            <w:proofErr w:type="spellStart"/>
            <w:r w:rsidRPr="008561F2">
              <w:rPr>
                <w:i/>
                <w:sz w:val="22"/>
              </w:rPr>
              <w:t>du’s</w:t>
            </w:r>
            <w:proofErr w:type="spellEnd"/>
            <w:r w:rsidRPr="008561F2">
              <w:rPr>
                <w:i/>
                <w:sz w:val="22"/>
              </w:rPr>
              <w:t xml:space="preserve"> </w:t>
            </w:r>
            <w:r>
              <w:rPr>
                <w:i/>
                <w:sz w:val="22"/>
              </w:rPr>
              <w:lastRenderedPageBreak/>
              <w:t xml:space="preserve">mobile </w:t>
            </w:r>
            <w:r w:rsidRPr="008561F2">
              <w:rPr>
                <w:i/>
                <w:sz w:val="22"/>
              </w:rPr>
              <w:t>network</w:t>
            </w:r>
          </w:p>
        </w:tc>
        <w:tc>
          <w:tcPr>
            <w:tcW w:w="1446" w:type="dxa"/>
          </w:tcPr>
          <w:p w:rsidR="000B1658" w:rsidRPr="0012269E" w:rsidRDefault="000B1658" w:rsidP="00D8210B">
            <w:pPr>
              <w:suppressAutoHyphens/>
            </w:pPr>
            <w:r w:rsidRPr="008561F2">
              <w:rPr>
                <w:sz w:val="22"/>
              </w:rPr>
              <w:lastRenderedPageBreak/>
              <w:t xml:space="preserve">All </w:t>
            </w:r>
            <w:r>
              <w:rPr>
                <w:sz w:val="22"/>
              </w:rPr>
              <w:t>Customers</w:t>
            </w:r>
          </w:p>
        </w:tc>
        <w:tc>
          <w:tcPr>
            <w:tcW w:w="5022" w:type="dxa"/>
          </w:tcPr>
          <w:p w:rsidR="000B1658" w:rsidRPr="008561F2" w:rsidRDefault="000B1658" w:rsidP="00D8210B">
            <w:pPr>
              <w:suppressAutoHyphens/>
            </w:pPr>
            <w:r>
              <w:rPr>
                <w:sz w:val="22"/>
              </w:rPr>
              <w:t>National</w:t>
            </w:r>
          </w:p>
        </w:tc>
      </w:tr>
      <w:tr w:rsidR="000B1658" w:rsidRPr="008561F2" w:rsidTr="00D8210B">
        <w:tc>
          <w:tcPr>
            <w:tcW w:w="1242" w:type="dxa"/>
          </w:tcPr>
          <w:p w:rsidR="000B1658" w:rsidRPr="008561F2" w:rsidRDefault="000B1658" w:rsidP="00D8210B">
            <w:pPr>
              <w:suppressAutoHyphens/>
            </w:pPr>
            <w:r w:rsidRPr="008561F2">
              <w:rPr>
                <w:sz w:val="22"/>
              </w:rPr>
              <w:lastRenderedPageBreak/>
              <w:t>WM 3A</w:t>
            </w:r>
          </w:p>
        </w:tc>
        <w:tc>
          <w:tcPr>
            <w:tcW w:w="6906" w:type="dxa"/>
          </w:tcPr>
          <w:p w:rsidR="000B1658" w:rsidRPr="008561F2" w:rsidRDefault="000B1658" w:rsidP="00D8210B">
            <w:pPr>
              <w:suppressAutoHyphens/>
              <w:rPr>
                <w:b/>
              </w:rPr>
            </w:pPr>
            <w:r w:rsidRPr="008561F2">
              <w:rPr>
                <w:b/>
                <w:sz w:val="22"/>
              </w:rPr>
              <w:t xml:space="preserve">Residential fixed call origination </w:t>
            </w:r>
          </w:p>
          <w:p w:rsidR="000B1658" w:rsidRPr="008561F2" w:rsidRDefault="000B1658" w:rsidP="00D8210B">
            <w:pPr>
              <w:suppressAutoHyphens/>
              <w:rPr>
                <w:i/>
              </w:rPr>
            </w:pPr>
            <w:r w:rsidRPr="008561F2">
              <w:rPr>
                <w:i/>
                <w:sz w:val="22"/>
              </w:rPr>
              <w:t xml:space="preserve">Includes the origination of fixed network calls for third party </w:t>
            </w:r>
            <w:r>
              <w:rPr>
                <w:i/>
                <w:sz w:val="22"/>
              </w:rPr>
              <w:t>Licensees</w:t>
            </w:r>
            <w:r w:rsidRPr="008561F2">
              <w:rPr>
                <w:i/>
                <w:sz w:val="22"/>
              </w:rPr>
              <w:t xml:space="preserve"> and self-supply of call origination </w:t>
            </w:r>
          </w:p>
        </w:tc>
        <w:tc>
          <w:tcPr>
            <w:tcW w:w="1446" w:type="dxa"/>
          </w:tcPr>
          <w:p w:rsidR="000B1658" w:rsidRPr="008561F2" w:rsidRDefault="000B1658" w:rsidP="00D8210B">
            <w:pPr>
              <w:suppressAutoHyphens/>
            </w:pPr>
            <w:r w:rsidRPr="008561F2">
              <w:rPr>
                <w:sz w:val="22"/>
              </w:rPr>
              <w:t>Residential</w:t>
            </w:r>
          </w:p>
        </w:tc>
        <w:tc>
          <w:tcPr>
            <w:tcW w:w="5022" w:type="dxa"/>
          </w:tcPr>
          <w:p w:rsidR="000B1658" w:rsidRPr="0012269E" w:rsidRDefault="000B1658" w:rsidP="00D8210B">
            <w:pPr>
              <w:suppressAutoHyphens/>
            </w:pPr>
            <w:r w:rsidRPr="008561F2">
              <w:rPr>
                <w:sz w:val="22"/>
              </w:rPr>
              <w:t xml:space="preserve">That part of the UAE where Etisalat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3B</w:t>
            </w:r>
          </w:p>
        </w:tc>
        <w:tc>
          <w:tcPr>
            <w:tcW w:w="6906" w:type="dxa"/>
          </w:tcPr>
          <w:p w:rsidR="000B1658" w:rsidRPr="008561F2" w:rsidRDefault="000B1658" w:rsidP="00D8210B">
            <w:pPr>
              <w:suppressAutoHyphens/>
              <w:rPr>
                <w:b/>
              </w:rPr>
            </w:pPr>
            <w:r w:rsidRPr="008561F2">
              <w:rPr>
                <w:b/>
                <w:sz w:val="22"/>
              </w:rPr>
              <w:t xml:space="preserve">Residential fixed call origination </w:t>
            </w:r>
          </w:p>
          <w:p w:rsidR="000B1658" w:rsidRPr="008561F2" w:rsidRDefault="000B1658" w:rsidP="00D8210B">
            <w:pPr>
              <w:suppressAutoHyphens/>
              <w:rPr>
                <w:i/>
              </w:rPr>
            </w:pPr>
            <w:r w:rsidRPr="008561F2">
              <w:rPr>
                <w:i/>
                <w:sz w:val="22"/>
              </w:rPr>
              <w:t xml:space="preserve">Includes the origination of fixed network calls for third party </w:t>
            </w:r>
            <w:r>
              <w:rPr>
                <w:i/>
                <w:sz w:val="22"/>
              </w:rPr>
              <w:t>Licensees</w:t>
            </w:r>
            <w:r w:rsidRPr="008561F2">
              <w:rPr>
                <w:i/>
                <w:sz w:val="22"/>
              </w:rPr>
              <w:t xml:space="preserve"> and self-supply of call origination </w:t>
            </w:r>
          </w:p>
        </w:tc>
        <w:tc>
          <w:tcPr>
            <w:tcW w:w="1446" w:type="dxa"/>
          </w:tcPr>
          <w:p w:rsidR="000B1658" w:rsidRPr="008561F2" w:rsidRDefault="000B1658" w:rsidP="00D8210B">
            <w:pPr>
              <w:suppressAutoHyphens/>
            </w:pPr>
            <w:r w:rsidRPr="008561F2">
              <w:rPr>
                <w:sz w:val="22"/>
              </w:rPr>
              <w:t>Residential</w:t>
            </w:r>
          </w:p>
        </w:tc>
        <w:tc>
          <w:tcPr>
            <w:tcW w:w="5022" w:type="dxa"/>
          </w:tcPr>
          <w:p w:rsidR="000B1658" w:rsidRPr="0012269E" w:rsidRDefault="000B1658" w:rsidP="00D8210B">
            <w:pPr>
              <w:suppressAutoHyphens/>
            </w:pPr>
            <w:r w:rsidRPr="008561F2">
              <w:rPr>
                <w:sz w:val="22"/>
              </w:rPr>
              <w:t xml:space="preserve">That part of the UAE where du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4A</w:t>
            </w:r>
          </w:p>
        </w:tc>
        <w:tc>
          <w:tcPr>
            <w:tcW w:w="6906" w:type="dxa"/>
          </w:tcPr>
          <w:p w:rsidR="000B1658" w:rsidRPr="008561F2" w:rsidRDefault="000B1658" w:rsidP="00D8210B">
            <w:pPr>
              <w:suppressAutoHyphens/>
              <w:rPr>
                <w:b/>
              </w:rPr>
            </w:pPr>
            <w:r>
              <w:rPr>
                <w:b/>
                <w:sz w:val="22"/>
              </w:rPr>
              <w:t>Business</w:t>
            </w:r>
            <w:r w:rsidRPr="008561F2">
              <w:rPr>
                <w:b/>
                <w:sz w:val="22"/>
              </w:rPr>
              <w:t xml:space="preserve"> fixed call origination </w:t>
            </w:r>
          </w:p>
          <w:p w:rsidR="000B1658" w:rsidRPr="008561F2" w:rsidRDefault="000B1658" w:rsidP="00D8210B">
            <w:pPr>
              <w:suppressAutoHyphens/>
              <w:rPr>
                <w:i/>
              </w:rPr>
            </w:pPr>
            <w:r w:rsidRPr="008561F2">
              <w:rPr>
                <w:i/>
                <w:sz w:val="22"/>
              </w:rPr>
              <w:t>Includes the origination of fixed network calls for third part</w:t>
            </w:r>
            <w:r>
              <w:rPr>
                <w:i/>
                <w:sz w:val="22"/>
              </w:rPr>
              <w:t>y Licensees</w:t>
            </w:r>
            <w:r w:rsidRPr="008561F2">
              <w:rPr>
                <w:i/>
                <w:sz w:val="22"/>
              </w:rPr>
              <w:t xml:space="preserve"> and self-supply of call origination </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sidRPr="008561F2">
              <w:rPr>
                <w:sz w:val="22"/>
              </w:rPr>
              <w:t xml:space="preserve">That part of the UAE where Etisalat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4B</w:t>
            </w:r>
          </w:p>
        </w:tc>
        <w:tc>
          <w:tcPr>
            <w:tcW w:w="6906" w:type="dxa"/>
          </w:tcPr>
          <w:p w:rsidR="000B1658" w:rsidRDefault="000B1658" w:rsidP="00D8210B">
            <w:pPr>
              <w:suppressAutoHyphens/>
              <w:rPr>
                <w:b/>
              </w:rPr>
            </w:pPr>
            <w:r>
              <w:rPr>
                <w:b/>
                <w:sz w:val="22"/>
              </w:rPr>
              <w:t>Business</w:t>
            </w:r>
            <w:r w:rsidRPr="008561F2">
              <w:rPr>
                <w:b/>
                <w:sz w:val="22"/>
              </w:rPr>
              <w:t xml:space="preserve"> fixed call origination </w:t>
            </w:r>
          </w:p>
          <w:p w:rsidR="000B1658" w:rsidRPr="008561F2" w:rsidRDefault="000B1658" w:rsidP="00D8210B">
            <w:pPr>
              <w:suppressAutoHyphens/>
              <w:rPr>
                <w:i/>
              </w:rPr>
            </w:pPr>
            <w:r w:rsidRPr="008561F2">
              <w:rPr>
                <w:i/>
                <w:sz w:val="22"/>
              </w:rPr>
              <w:t xml:space="preserve">Includes the origination of fixed network calls for third party </w:t>
            </w:r>
            <w:r>
              <w:rPr>
                <w:i/>
                <w:sz w:val="22"/>
              </w:rPr>
              <w:t>Licensees</w:t>
            </w:r>
            <w:r w:rsidRPr="008561F2">
              <w:rPr>
                <w:i/>
                <w:sz w:val="22"/>
              </w:rPr>
              <w:t xml:space="preserve"> and self-supply of call origination </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sidRPr="008561F2">
              <w:rPr>
                <w:sz w:val="22"/>
              </w:rPr>
              <w:t xml:space="preserve">That part of the UAE where du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5</w:t>
            </w:r>
          </w:p>
        </w:tc>
        <w:tc>
          <w:tcPr>
            <w:tcW w:w="6906" w:type="dxa"/>
          </w:tcPr>
          <w:p w:rsidR="000B1658" w:rsidRPr="008561F2" w:rsidRDefault="000B1658" w:rsidP="00D8210B">
            <w:pPr>
              <w:suppressAutoHyphens/>
              <w:rPr>
                <w:b/>
              </w:rPr>
            </w:pPr>
            <w:r w:rsidRPr="00563A9D">
              <w:rPr>
                <w:b/>
                <w:sz w:val="22"/>
              </w:rPr>
              <w:t>Mobile access and call origination (including wholesale data access)</w:t>
            </w:r>
          </w:p>
          <w:p w:rsidR="000B1658" w:rsidRPr="008561F2" w:rsidRDefault="000B1658" w:rsidP="00D8210B">
            <w:pPr>
              <w:suppressAutoHyphens/>
              <w:rPr>
                <w:i/>
              </w:rPr>
            </w:pPr>
            <w:r w:rsidRPr="008561F2">
              <w:rPr>
                <w:i/>
                <w:sz w:val="22"/>
              </w:rPr>
              <w:t>Includes self-supply and supply to third part</w:t>
            </w:r>
            <w:r>
              <w:rPr>
                <w:i/>
                <w:sz w:val="22"/>
              </w:rPr>
              <w:t xml:space="preserve">ies </w:t>
            </w:r>
            <w:r w:rsidRPr="008561F2">
              <w:rPr>
                <w:i/>
                <w:sz w:val="22"/>
              </w:rPr>
              <w:t xml:space="preserve"> of wholesale mobile </w:t>
            </w:r>
            <w:r>
              <w:rPr>
                <w:i/>
                <w:sz w:val="22"/>
              </w:rPr>
              <w:t>access,</w:t>
            </w:r>
            <w:r w:rsidRPr="008561F2">
              <w:rPr>
                <w:i/>
                <w:sz w:val="22"/>
              </w:rPr>
              <w:t xml:space="preserve"> used to provide call and data services to retail </w:t>
            </w:r>
            <w:r>
              <w:rPr>
                <w:i/>
                <w:sz w:val="22"/>
              </w:rPr>
              <w:t>Customer</w:t>
            </w:r>
            <w:r w:rsidRPr="008561F2">
              <w:rPr>
                <w:i/>
                <w:sz w:val="22"/>
              </w:rPr>
              <w:t>s</w:t>
            </w:r>
          </w:p>
        </w:tc>
        <w:tc>
          <w:tcPr>
            <w:tcW w:w="1446" w:type="dxa"/>
          </w:tcPr>
          <w:p w:rsidR="000B1658" w:rsidRPr="008561F2" w:rsidRDefault="000B1658" w:rsidP="00D8210B">
            <w:pPr>
              <w:suppressAutoHyphens/>
            </w:pPr>
            <w:r w:rsidRPr="008561F2">
              <w:rPr>
                <w:sz w:val="22"/>
              </w:rPr>
              <w:t xml:space="preserve">All </w:t>
            </w:r>
            <w:r>
              <w:rPr>
                <w:sz w:val="22"/>
              </w:rPr>
              <w:t>Customers</w:t>
            </w:r>
          </w:p>
        </w:tc>
        <w:tc>
          <w:tcPr>
            <w:tcW w:w="5022" w:type="dxa"/>
          </w:tcPr>
          <w:p w:rsidR="000B1658" w:rsidRPr="008561F2" w:rsidRDefault="000B1658" w:rsidP="00D8210B">
            <w:pPr>
              <w:suppressAutoHyphens/>
            </w:pPr>
            <w:r w:rsidRPr="008561F2">
              <w:rPr>
                <w:sz w:val="22"/>
              </w:rPr>
              <w:t>National</w:t>
            </w:r>
          </w:p>
        </w:tc>
      </w:tr>
      <w:tr w:rsidR="000B1658" w:rsidRPr="008561F2" w:rsidTr="00D8210B">
        <w:tc>
          <w:tcPr>
            <w:tcW w:w="1242" w:type="dxa"/>
          </w:tcPr>
          <w:p w:rsidR="000B1658" w:rsidRPr="008561F2" w:rsidRDefault="000B1658" w:rsidP="00D8210B">
            <w:pPr>
              <w:suppressAutoHyphens/>
            </w:pPr>
            <w:r w:rsidRPr="008561F2">
              <w:rPr>
                <w:sz w:val="22"/>
              </w:rPr>
              <w:t>WM 6A</w:t>
            </w:r>
          </w:p>
        </w:tc>
        <w:tc>
          <w:tcPr>
            <w:tcW w:w="6906" w:type="dxa"/>
          </w:tcPr>
          <w:p w:rsidR="000B1658" w:rsidRDefault="000B1658" w:rsidP="00D8210B">
            <w:pPr>
              <w:suppressAutoHyphens/>
              <w:rPr>
                <w:i/>
                <w:sz w:val="12"/>
              </w:rPr>
            </w:pPr>
            <w:r w:rsidRPr="008561F2">
              <w:rPr>
                <w:b/>
                <w:sz w:val="22"/>
              </w:rPr>
              <w:t xml:space="preserve">Residential wholesale fixed </w:t>
            </w:r>
            <w:r>
              <w:rPr>
                <w:b/>
                <w:sz w:val="22"/>
              </w:rPr>
              <w:t>broadband</w:t>
            </w:r>
            <w:r w:rsidRPr="008561F2">
              <w:rPr>
                <w:b/>
                <w:sz w:val="22"/>
              </w:rPr>
              <w:t xml:space="preserve"> access </w:t>
            </w:r>
          </w:p>
          <w:p w:rsidR="000B1658" w:rsidRPr="0012269E" w:rsidRDefault="000B1658" w:rsidP="00D8210B">
            <w:pPr>
              <w:suppressAutoHyphens/>
              <w:rPr>
                <w:i/>
              </w:rPr>
            </w:pPr>
            <w:r w:rsidRPr="008561F2">
              <w:rPr>
                <w:i/>
                <w:sz w:val="22"/>
              </w:rPr>
              <w:t>Includes self-supply and supply to third part</w:t>
            </w:r>
            <w:r>
              <w:rPr>
                <w:i/>
                <w:sz w:val="22"/>
              </w:rPr>
              <w:t xml:space="preserve">ies </w:t>
            </w:r>
            <w:r w:rsidRPr="008561F2">
              <w:rPr>
                <w:i/>
                <w:sz w:val="22"/>
              </w:rPr>
              <w:t xml:space="preserve">of wholesale </w:t>
            </w:r>
            <w:r>
              <w:rPr>
                <w:i/>
                <w:sz w:val="22"/>
              </w:rPr>
              <w:t>Telecommunication Services and related products</w:t>
            </w:r>
            <w:r w:rsidRPr="008561F2">
              <w:rPr>
                <w:i/>
                <w:sz w:val="22"/>
              </w:rPr>
              <w:t xml:space="preserve"> used to provide </w:t>
            </w:r>
            <w:r>
              <w:rPr>
                <w:i/>
                <w:sz w:val="22"/>
              </w:rPr>
              <w:t>broadband</w:t>
            </w:r>
            <w:r w:rsidRPr="008561F2">
              <w:rPr>
                <w:i/>
                <w:sz w:val="22"/>
              </w:rPr>
              <w:t xml:space="preserve"> fixed network internet access</w:t>
            </w:r>
            <w:r>
              <w:rPr>
                <w:i/>
                <w:sz w:val="22"/>
              </w:rPr>
              <w:t>, as well as bundled services including broadband access (e.g. Voice+ Internet+ IPTV)</w:t>
            </w:r>
            <w:r w:rsidRPr="008561F2">
              <w:rPr>
                <w:i/>
                <w:sz w:val="22"/>
              </w:rPr>
              <w:t xml:space="preserve"> to </w:t>
            </w:r>
            <w:r>
              <w:rPr>
                <w:i/>
                <w:sz w:val="22"/>
              </w:rPr>
              <w:t>residential</w:t>
            </w:r>
            <w:r w:rsidRPr="008561F2">
              <w:rPr>
                <w:i/>
                <w:sz w:val="22"/>
              </w:rPr>
              <w:t xml:space="preserve"> </w:t>
            </w:r>
            <w:r>
              <w:rPr>
                <w:i/>
                <w:sz w:val="22"/>
              </w:rPr>
              <w:t>Customers</w:t>
            </w:r>
          </w:p>
        </w:tc>
        <w:tc>
          <w:tcPr>
            <w:tcW w:w="1446" w:type="dxa"/>
          </w:tcPr>
          <w:p w:rsidR="000B1658" w:rsidRPr="008561F2" w:rsidRDefault="000B1658" w:rsidP="00D8210B">
            <w:pPr>
              <w:suppressAutoHyphens/>
            </w:pPr>
            <w:r w:rsidRPr="008561F2">
              <w:rPr>
                <w:sz w:val="22"/>
              </w:rPr>
              <w:t>Residential</w:t>
            </w:r>
          </w:p>
        </w:tc>
        <w:tc>
          <w:tcPr>
            <w:tcW w:w="5022" w:type="dxa"/>
          </w:tcPr>
          <w:p w:rsidR="000B1658" w:rsidRPr="0012269E" w:rsidRDefault="000B1658" w:rsidP="00D8210B">
            <w:pPr>
              <w:suppressAutoHyphens/>
            </w:pPr>
            <w:r w:rsidRPr="008561F2">
              <w:rPr>
                <w:sz w:val="22"/>
              </w:rPr>
              <w:t xml:space="preserve">That part of the UAE where Etisalat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6B</w:t>
            </w:r>
          </w:p>
        </w:tc>
        <w:tc>
          <w:tcPr>
            <w:tcW w:w="6906" w:type="dxa"/>
          </w:tcPr>
          <w:p w:rsidR="000B1658" w:rsidRDefault="000B1658" w:rsidP="00D8210B">
            <w:pPr>
              <w:suppressAutoHyphens/>
              <w:rPr>
                <w:i/>
                <w:sz w:val="12"/>
              </w:rPr>
            </w:pPr>
            <w:r w:rsidRPr="008561F2">
              <w:rPr>
                <w:b/>
                <w:sz w:val="22"/>
              </w:rPr>
              <w:t xml:space="preserve">Residential wholesale fixed </w:t>
            </w:r>
            <w:r>
              <w:rPr>
                <w:b/>
                <w:sz w:val="22"/>
              </w:rPr>
              <w:t>broadband</w:t>
            </w:r>
            <w:r w:rsidRPr="008561F2">
              <w:rPr>
                <w:b/>
                <w:sz w:val="22"/>
              </w:rPr>
              <w:t xml:space="preserve"> access </w:t>
            </w:r>
          </w:p>
          <w:p w:rsidR="000B1658" w:rsidRPr="0012269E" w:rsidRDefault="000B1658" w:rsidP="00D8210B">
            <w:pPr>
              <w:suppressAutoHyphens/>
              <w:rPr>
                <w:i/>
              </w:rPr>
            </w:pPr>
            <w:r w:rsidRPr="008561F2">
              <w:rPr>
                <w:i/>
                <w:sz w:val="22"/>
              </w:rPr>
              <w:t xml:space="preserve">Includes self-supply and supply to third party </w:t>
            </w:r>
            <w:r>
              <w:rPr>
                <w:i/>
                <w:sz w:val="22"/>
              </w:rPr>
              <w:t>Licensees</w:t>
            </w:r>
            <w:r w:rsidRPr="008561F2">
              <w:rPr>
                <w:i/>
                <w:sz w:val="22"/>
              </w:rPr>
              <w:t xml:space="preserve"> of wholesale </w:t>
            </w:r>
            <w:r>
              <w:rPr>
                <w:i/>
                <w:sz w:val="22"/>
              </w:rPr>
              <w:t>Telecommunication Services and related products</w:t>
            </w:r>
            <w:r w:rsidRPr="008561F2">
              <w:rPr>
                <w:i/>
                <w:sz w:val="22"/>
              </w:rPr>
              <w:t xml:space="preserve"> used to provide </w:t>
            </w:r>
            <w:r>
              <w:rPr>
                <w:i/>
                <w:sz w:val="22"/>
              </w:rPr>
              <w:t>broadband</w:t>
            </w:r>
            <w:r w:rsidRPr="008561F2">
              <w:rPr>
                <w:i/>
                <w:sz w:val="22"/>
              </w:rPr>
              <w:t xml:space="preserve"> fixed network internet</w:t>
            </w:r>
            <w:r>
              <w:rPr>
                <w:i/>
                <w:sz w:val="22"/>
              </w:rPr>
              <w:t xml:space="preserve">, as well as bundled services </w:t>
            </w:r>
            <w:r>
              <w:rPr>
                <w:i/>
                <w:sz w:val="22"/>
              </w:rPr>
              <w:lastRenderedPageBreak/>
              <w:t>including broadband access (e.g. Voice+ Internet+ IPTV)</w:t>
            </w:r>
            <w:r w:rsidRPr="008561F2">
              <w:rPr>
                <w:i/>
                <w:sz w:val="22"/>
              </w:rPr>
              <w:t xml:space="preserve"> to </w:t>
            </w:r>
            <w:r>
              <w:rPr>
                <w:i/>
                <w:sz w:val="22"/>
              </w:rPr>
              <w:t>residential</w:t>
            </w:r>
            <w:r w:rsidRPr="008561F2">
              <w:rPr>
                <w:i/>
                <w:sz w:val="22"/>
              </w:rPr>
              <w:t xml:space="preserve"> </w:t>
            </w:r>
            <w:r>
              <w:rPr>
                <w:i/>
                <w:sz w:val="22"/>
              </w:rPr>
              <w:t>Customers</w:t>
            </w:r>
          </w:p>
        </w:tc>
        <w:tc>
          <w:tcPr>
            <w:tcW w:w="1446" w:type="dxa"/>
          </w:tcPr>
          <w:p w:rsidR="000B1658" w:rsidRPr="008561F2" w:rsidRDefault="000B1658" w:rsidP="00D8210B">
            <w:pPr>
              <w:suppressAutoHyphens/>
            </w:pPr>
            <w:r w:rsidRPr="008561F2">
              <w:rPr>
                <w:sz w:val="22"/>
              </w:rPr>
              <w:lastRenderedPageBreak/>
              <w:t>Residential</w:t>
            </w:r>
          </w:p>
        </w:tc>
        <w:tc>
          <w:tcPr>
            <w:tcW w:w="5022" w:type="dxa"/>
          </w:tcPr>
          <w:p w:rsidR="000B1658" w:rsidRPr="0012269E" w:rsidRDefault="000B1658" w:rsidP="00D8210B">
            <w:pPr>
              <w:suppressAutoHyphens/>
            </w:pPr>
            <w:r w:rsidRPr="008561F2">
              <w:rPr>
                <w:sz w:val="22"/>
              </w:rPr>
              <w:t xml:space="preserve">That part of the UAE where du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lastRenderedPageBreak/>
              <w:t>WM 7A</w:t>
            </w:r>
          </w:p>
        </w:tc>
        <w:tc>
          <w:tcPr>
            <w:tcW w:w="6906" w:type="dxa"/>
          </w:tcPr>
          <w:p w:rsidR="000B1658" w:rsidRPr="008561F2" w:rsidRDefault="000B1658" w:rsidP="00D8210B">
            <w:pPr>
              <w:suppressAutoHyphens/>
              <w:rPr>
                <w:b/>
              </w:rPr>
            </w:pPr>
            <w:r>
              <w:rPr>
                <w:b/>
                <w:sz w:val="22"/>
              </w:rPr>
              <w:t>Business</w:t>
            </w:r>
            <w:r w:rsidRPr="008561F2">
              <w:rPr>
                <w:b/>
                <w:sz w:val="22"/>
              </w:rPr>
              <w:t xml:space="preserve"> wholesale fixed </w:t>
            </w:r>
            <w:r>
              <w:rPr>
                <w:b/>
                <w:sz w:val="22"/>
              </w:rPr>
              <w:t>broadband</w:t>
            </w:r>
            <w:r w:rsidRPr="008561F2">
              <w:rPr>
                <w:b/>
                <w:sz w:val="22"/>
              </w:rPr>
              <w:t xml:space="preserve"> access </w:t>
            </w:r>
          </w:p>
          <w:p w:rsidR="000B1658" w:rsidRPr="0012269E" w:rsidRDefault="000B1658" w:rsidP="00D8210B">
            <w:pPr>
              <w:suppressAutoHyphens/>
              <w:rPr>
                <w:i/>
              </w:rPr>
            </w:pPr>
            <w:r w:rsidRPr="008561F2">
              <w:rPr>
                <w:i/>
                <w:sz w:val="22"/>
              </w:rPr>
              <w:t xml:space="preserve">Includes self-supply and supply to third party </w:t>
            </w:r>
            <w:r>
              <w:rPr>
                <w:i/>
                <w:sz w:val="22"/>
              </w:rPr>
              <w:t>Licensees</w:t>
            </w:r>
            <w:r w:rsidRPr="008561F2">
              <w:rPr>
                <w:i/>
                <w:sz w:val="22"/>
              </w:rPr>
              <w:t xml:space="preserve"> of wholesale </w:t>
            </w:r>
            <w:r>
              <w:rPr>
                <w:i/>
                <w:sz w:val="22"/>
              </w:rPr>
              <w:t>Telecommunication Services and related products</w:t>
            </w:r>
            <w:r w:rsidRPr="008561F2">
              <w:rPr>
                <w:i/>
                <w:sz w:val="22"/>
              </w:rPr>
              <w:t xml:space="preserve"> used to provide </w:t>
            </w:r>
            <w:r>
              <w:rPr>
                <w:i/>
                <w:sz w:val="22"/>
              </w:rPr>
              <w:t xml:space="preserve">broadband </w:t>
            </w:r>
            <w:r w:rsidRPr="008561F2">
              <w:rPr>
                <w:i/>
                <w:sz w:val="22"/>
              </w:rPr>
              <w:t>fixed network internet access</w:t>
            </w:r>
            <w:r>
              <w:rPr>
                <w:i/>
                <w:sz w:val="22"/>
              </w:rPr>
              <w:t xml:space="preserve"> (including dedicated internet access), as well as bundled services including broadband access (e.g. Voice+ Internet+ IPTV)</w:t>
            </w:r>
            <w:r w:rsidRPr="008561F2">
              <w:rPr>
                <w:i/>
                <w:sz w:val="22"/>
              </w:rPr>
              <w:t xml:space="preserve"> to </w:t>
            </w:r>
            <w:r>
              <w:rPr>
                <w:i/>
                <w:sz w:val="22"/>
              </w:rPr>
              <w:t>business</w:t>
            </w:r>
            <w:r w:rsidRPr="008561F2">
              <w:rPr>
                <w:i/>
                <w:sz w:val="22"/>
              </w:rPr>
              <w:t xml:space="preserve"> </w:t>
            </w:r>
            <w:r>
              <w:rPr>
                <w:i/>
                <w:sz w:val="22"/>
              </w:rPr>
              <w:t>Customers</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sidRPr="008561F2">
              <w:rPr>
                <w:sz w:val="22"/>
              </w:rPr>
              <w:t xml:space="preserve">That part of the UAE where Etisalat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7B</w:t>
            </w:r>
          </w:p>
        </w:tc>
        <w:tc>
          <w:tcPr>
            <w:tcW w:w="6906" w:type="dxa"/>
          </w:tcPr>
          <w:p w:rsidR="000B1658" w:rsidRPr="008561F2" w:rsidRDefault="000B1658" w:rsidP="00D8210B">
            <w:pPr>
              <w:suppressAutoHyphens/>
              <w:rPr>
                <w:b/>
              </w:rPr>
            </w:pPr>
            <w:r>
              <w:rPr>
                <w:b/>
                <w:sz w:val="22"/>
              </w:rPr>
              <w:t>Business</w:t>
            </w:r>
            <w:r w:rsidRPr="008561F2">
              <w:rPr>
                <w:b/>
                <w:sz w:val="22"/>
              </w:rPr>
              <w:t xml:space="preserve"> wholesale fixed </w:t>
            </w:r>
            <w:r>
              <w:rPr>
                <w:b/>
                <w:sz w:val="22"/>
              </w:rPr>
              <w:t>broadband</w:t>
            </w:r>
            <w:r w:rsidRPr="008561F2">
              <w:rPr>
                <w:b/>
                <w:sz w:val="22"/>
              </w:rPr>
              <w:t xml:space="preserve"> access </w:t>
            </w:r>
          </w:p>
          <w:p w:rsidR="000B1658" w:rsidRPr="008561F2" w:rsidRDefault="000B1658" w:rsidP="00D8210B">
            <w:pPr>
              <w:suppressAutoHyphens/>
            </w:pPr>
            <w:r w:rsidRPr="008561F2">
              <w:rPr>
                <w:i/>
                <w:sz w:val="22"/>
              </w:rPr>
              <w:t xml:space="preserve">Includes self-supply and supply to third party </w:t>
            </w:r>
            <w:r>
              <w:rPr>
                <w:i/>
                <w:sz w:val="22"/>
              </w:rPr>
              <w:t>Licensees</w:t>
            </w:r>
            <w:r w:rsidRPr="008561F2">
              <w:rPr>
                <w:i/>
                <w:sz w:val="22"/>
              </w:rPr>
              <w:t xml:space="preserve"> of wholesale </w:t>
            </w:r>
            <w:r>
              <w:rPr>
                <w:i/>
                <w:sz w:val="22"/>
              </w:rPr>
              <w:t>Telecommunication Services and related products</w:t>
            </w:r>
            <w:r w:rsidRPr="008561F2">
              <w:rPr>
                <w:i/>
                <w:sz w:val="22"/>
              </w:rPr>
              <w:t xml:space="preserve"> used to provide </w:t>
            </w:r>
            <w:r>
              <w:rPr>
                <w:i/>
                <w:sz w:val="22"/>
              </w:rPr>
              <w:t>broadband</w:t>
            </w:r>
            <w:r w:rsidRPr="008561F2">
              <w:rPr>
                <w:i/>
                <w:sz w:val="22"/>
              </w:rPr>
              <w:t xml:space="preserve"> fixed network internet access</w:t>
            </w:r>
            <w:r>
              <w:rPr>
                <w:i/>
                <w:sz w:val="22"/>
              </w:rPr>
              <w:t xml:space="preserve"> (including dedicated internet access), as well as bundled services including broadband access (e.g. Voice+ Internet+ IPTV)</w:t>
            </w:r>
            <w:r w:rsidRPr="008561F2">
              <w:rPr>
                <w:i/>
                <w:sz w:val="22"/>
              </w:rPr>
              <w:t xml:space="preserve"> to </w:t>
            </w:r>
            <w:r>
              <w:rPr>
                <w:i/>
                <w:sz w:val="22"/>
              </w:rPr>
              <w:t>business</w:t>
            </w:r>
            <w:r w:rsidRPr="008561F2">
              <w:rPr>
                <w:i/>
                <w:sz w:val="22"/>
              </w:rPr>
              <w:t xml:space="preserve"> </w:t>
            </w:r>
            <w:r>
              <w:rPr>
                <w:i/>
                <w:sz w:val="22"/>
              </w:rPr>
              <w:t>Customers</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sidRPr="008561F2">
              <w:rPr>
                <w:sz w:val="22"/>
              </w:rPr>
              <w:t xml:space="preserve">That part of the UAE where du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Pr>
                <w:sz w:val="22"/>
              </w:rPr>
              <w:t>WM 8A</w:t>
            </w:r>
          </w:p>
        </w:tc>
        <w:tc>
          <w:tcPr>
            <w:tcW w:w="6906" w:type="dxa"/>
          </w:tcPr>
          <w:p w:rsidR="000B1658" w:rsidRDefault="000B1658" w:rsidP="00D8210B">
            <w:pPr>
              <w:suppressAutoHyphens/>
              <w:rPr>
                <w:b/>
              </w:rPr>
            </w:pPr>
            <w:r w:rsidRPr="008561F2">
              <w:rPr>
                <w:b/>
                <w:sz w:val="22"/>
              </w:rPr>
              <w:t xml:space="preserve">Wholesale </w:t>
            </w:r>
            <w:r>
              <w:rPr>
                <w:b/>
                <w:sz w:val="22"/>
              </w:rPr>
              <w:t xml:space="preserve">terminating segments of fixed </w:t>
            </w:r>
            <w:r w:rsidRPr="008561F2">
              <w:rPr>
                <w:b/>
                <w:sz w:val="22"/>
              </w:rPr>
              <w:t>connectivity</w:t>
            </w:r>
            <w:r>
              <w:rPr>
                <w:b/>
                <w:sz w:val="22"/>
              </w:rPr>
              <w:t xml:space="preserve"> services</w:t>
            </w:r>
          </w:p>
          <w:p w:rsidR="000B1658" w:rsidRPr="008561F2" w:rsidRDefault="000B1658" w:rsidP="00D8210B">
            <w:pPr>
              <w:suppressAutoHyphens/>
              <w:rPr>
                <w:b/>
              </w:rPr>
            </w:pPr>
            <w:r w:rsidRPr="002B62D5">
              <w:rPr>
                <w:i/>
                <w:sz w:val="22"/>
              </w:rPr>
              <w:t xml:space="preserve">Includes terminating segments of wholesale </w:t>
            </w:r>
            <w:r>
              <w:rPr>
                <w:i/>
                <w:sz w:val="22"/>
              </w:rPr>
              <w:t>physical and/or virtual</w:t>
            </w:r>
            <w:r w:rsidRPr="002B62D5">
              <w:rPr>
                <w:i/>
                <w:sz w:val="22"/>
              </w:rPr>
              <w:t xml:space="preserve"> connectivity </w:t>
            </w:r>
            <w:r>
              <w:rPr>
                <w:i/>
                <w:sz w:val="22"/>
              </w:rPr>
              <w:t>access</w:t>
            </w:r>
            <w:r w:rsidRPr="002B62D5">
              <w:rPr>
                <w:i/>
                <w:sz w:val="22"/>
              </w:rPr>
              <w:t xml:space="preserve">, including </w:t>
            </w:r>
            <w:r>
              <w:rPr>
                <w:i/>
                <w:sz w:val="22"/>
              </w:rPr>
              <w:t>backhaul services and</w:t>
            </w:r>
            <w:r w:rsidRPr="002B62D5">
              <w:rPr>
                <w:i/>
                <w:sz w:val="22"/>
              </w:rPr>
              <w:t xml:space="preserve"> self-supply</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sidRPr="008561F2">
              <w:rPr>
                <w:sz w:val="22"/>
              </w:rPr>
              <w:t xml:space="preserve">That part of the UAE where Etisalat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Pr>
                <w:sz w:val="22"/>
              </w:rPr>
              <w:t>WM 8B</w:t>
            </w:r>
          </w:p>
        </w:tc>
        <w:tc>
          <w:tcPr>
            <w:tcW w:w="6906" w:type="dxa"/>
          </w:tcPr>
          <w:p w:rsidR="000B1658" w:rsidRDefault="000B1658" w:rsidP="00D8210B">
            <w:pPr>
              <w:suppressAutoHyphens/>
              <w:rPr>
                <w:b/>
              </w:rPr>
            </w:pPr>
            <w:r w:rsidRPr="008561F2">
              <w:rPr>
                <w:b/>
                <w:sz w:val="22"/>
              </w:rPr>
              <w:t xml:space="preserve">Wholesale </w:t>
            </w:r>
            <w:r>
              <w:rPr>
                <w:b/>
                <w:sz w:val="22"/>
              </w:rPr>
              <w:t xml:space="preserve">terminating segments of fixed </w:t>
            </w:r>
            <w:r w:rsidRPr="008561F2">
              <w:rPr>
                <w:b/>
                <w:sz w:val="22"/>
              </w:rPr>
              <w:t>connectivity</w:t>
            </w:r>
            <w:r>
              <w:rPr>
                <w:b/>
                <w:sz w:val="22"/>
              </w:rPr>
              <w:t xml:space="preserve"> services</w:t>
            </w:r>
          </w:p>
          <w:p w:rsidR="000B1658" w:rsidRPr="008561F2" w:rsidRDefault="000B1658" w:rsidP="00D8210B">
            <w:pPr>
              <w:suppressAutoHyphens/>
              <w:rPr>
                <w:b/>
              </w:rPr>
            </w:pPr>
            <w:r w:rsidRPr="002B62D5">
              <w:rPr>
                <w:i/>
                <w:sz w:val="22"/>
              </w:rPr>
              <w:t xml:space="preserve">Includes terminating segments of wholesale </w:t>
            </w:r>
            <w:r>
              <w:rPr>
                <w:i/>
                <w:sz w:val="22"/>
              </w:rPr>
              <w:t>physical and/or virtual</w:t>
            </w:r>
            <w:r w:rsidRPr="002B62D5">
              <w:rPr>
                <w:i/>
                <w:sz w:val="22"/>
              </w:rPr>
              <w:t xml:space="preserve"> connectivity </w:t>
            </w:r>
            <w:r>
              <w:rPr>
                <w:i/>
                <w:sz w:val="22"/>
              </w:rPr>
              <w:t>access</w:t>
            </w:r>
            <w:r w:rsidRPr="002B62D5">
              <w:rPr>
                <w:i/>
                <w:sz w:val="22"/>
              </w:rPr>
              <w:t xml:space="preserve">, including </w:t>
            </w:r>
            <w:r>
              <w:rPr>
                <w:i/>
                <w:sz w:val="22"/>
              </w:rPr>
              <w:t>backhaul services and</w:t>
            </w:r>
            <w:r w:rsidRPr="002B62D5">
              <w:rPr>
                <w:i/>
                <w:sz w:val="22"/>
              </w:rPr>
              <w:t xml:space="preserve"> self-supply</w:t>
            </w:r>
          </w:p>
        </w:tc>
        <w:tc>
          <w:tcPr>
            <w:tcW w:w="1446" w:type="dxa"/>
          </w:tcPr>
          <w:p w:rsidR="000B1658" w:rsidRDefault="000B1658" w:rsidP="00D8210B">
            <w:pPr>
              <w:suppressAutoHyphens/>
            </w:pPr>
            <w:r>
              <w:rPr>
                <w:sz w:val="22"/>
              </w:rPr>
              <w:t>Business</w:t>
            </w:r>
          </w:p>
        </w:tc>
        <w:tc>
          <w:tcPr>
            <w:tcW w:w="5022" w:type="dxa"/>
          </w:tcPr>
          <w:p w:rsidR="000B1658" w:rsidRPr="008561F2" w:rsidRDefault="000B1658" w:rsidP="00D8210B">
            <w:pPr>
              <w:suppressAutoHyphens/>
            </w:pPr>
            <w:r w:rsidRPr="008561F2">
              <w:rPr>
                <w:sz w:val="22"/>
              </w:rPr>
              <w:t xml:space="preserve">That part of the UAE where du provides direct fixed network connections to </w:t>
            </w:r>
            <w:r>
              <w:rPr>
                <w:sz w:val="22"/>
              </w:rPr>
              <w:t>Customers</w:t>
            </w:r>
          </w:p>
        </w:tc>
      </w:tr>
      <w:tr w:rsidR="000B1658" w:rsidRPr="008561F2" w:rsidTr="00D8210B">
        <w:tc>
          <w:tcPr>
            <w:tcW w:w="1242" w:type="dxa"/>
          </w:tcPr>
          <w:p w:rsidR="000B1658" w:rsidRPr="008561F2" w:rsidRDefault="000B1658" w:rsidP="00D8210B">
            <w:pPr>
              <w:suppressAutoHyphens/>
            </w:pPr>
            <w:r w:rsidRPr="008561F2">
              <w:rPr>
                <w:sz w:val="22"/>
              </w:rPr>
              <w:t>WM 8</w:t>
            </w:r>
            <w:r>
              <w:rPr>
                <w:sz w:val="22"/>
              </w:rPr>
              <w:t>C</w:t>
            </w:r>
          </w:p>
        </w:tc>
        <w:tc>
          <w:tcPr>
            <w:tcW w:w="6906" w:type="dxa"/>
          </w:tcPr>
          <w:p w:rsidR="000B1658" w:rsidRDefault="000B1658" w:rsidP="00D8210B">
            <w:pPr>
              <w:suppressAutoHyphens/>
              <w:rPr>
                <w:b/>
              </w:rPr>
            </w:pPr>
            <w:r w:rsidRPr="008561F2">
              <w:rPr>
                <w:b/>
                <w:sz w:val="22"/>
              </w:rPr>
              <w:t xml:space="preserve">Wholesale </w:t>
            </w:r>
            <w:r>
              <w:rPr>
                <w:b/>
                <w:sz w:val="22"/>
              </w:rPr>
              <w:t xml:space="preserve">trunk segments of fixed </w:t>
            </w:r>
            <w:r w:rsidRPr="008561F2">
              <w:rPr>
                <w:b/>
                <w:sz w:val="22"/>
              </w:rPr>
              <w:t>connectivity</w:t>
            </w:r>
            <w:r>
              <w:rPr>
                <w:b/>
                <w:sz w:val="22"/>
              </w:rPr>
              <w:t xml:space="preserve"> services</w:t>
            </w:r>
          </w:p>
          <w:p w:rsidR="000B1658" w:rsidRPr="002B62D5" w:rsidRDefault="000B1658" w:rsidP="00D8210B">
            <w:pPr>
              <w:suppressAutoHyphens/>
              <w:rPr>
                <w:i/>
              </w:rPr>
            </w:pPr>
            <w:r w:rsidRPr="002B62D5">
              <w:rPr>
                <w:i/>
                <w:sz w:val="22"/>
              </w:rPr>
              <w:t>Includes t</w:t>
            </w:r>
            <w:r>
              <w:rPr>
                <w:i/>
                <w:sz w:val="22"/>
              </w:rPr>
              <w:t>runk</w:t>
            </w:r>
            <w:r w:rsidRPr="002B62D5">
              <w:rPr>
                <w:i/>
                <w:sz w:val="22"/>
              </w:rPr>
              <w:t xml:space="preserve"> segments of wholesale </w:t>
            </w:r>
            <w:r>
              <w:rPr>
                <w:i/>
                <w:sz w:val="22"/>
              </w:rPr>
              <w:t>physical and/or virtual</w:t>
            </w:r>
            <w:r w:rsidRPr="002B62D5">
              <w:rPr>
                <w:i/>
                <w:sz w:val="22"/>
              </w:rPr>
              <w:t xml:space="preserve"> connectivity </w:t>
            </w:r>
            <w:r>
              <w:rPr>
                <w:i/>
                <w:sz w:val="22"/>
              </w:rPr>
              <w:t>access</w:t>
            </w:r>
            <w:r w:rsidRPr="002B62D5">
              <w:rPr>
                <w:i/>
                <w:sz w:val="22"/>
              </w:rPr>
              <w:t xml:space="preserve">, including </w:t>
            </w:r>
            <w:r>
              <w:rPr>
                <w:i/>
                <w:sz w:val="22"/>
              </w:rPr>
              <w:t>backhaul services and</w:t>
            </w:r>
            <w:r w:rsidRPr="002B62D5">
              <w:rPr>
                <w:i/>
                <w:sz w:val="22"/>
              </w:rPr>
              <w:t xml:space="preserve"> self-supply</w:t>
            </w:r>
          </w:p>
        </w:tc>
        <w:tc>
          <w:tcPr>
            <w:tcW w:w="1446" w:type="dxa"/>
          </w:tcPr>
          <w:p w:rsidR="000B1658" w:rsidRPr="008561F2" w:rsidRDefault="000B1658" w:rsidP="00D8210B">
            <w:pPr>
              <w:suppressAutoHyphens/>
            </w:pPr>
            <w:r>
              <w:rPr>
                <w:sz w:val="22"/>
              </w:rPr>
              <w:t>Business</w:t>
            </w:r>
          </w:p>
        </w:tc>
        <w:tc>
          <w:tcPr>
            <w:tcW w:w="5022" w:type="dxa"/>
          </w:tcPr>
          <w:p w:rsidR="000B1658" w:rsidRPr="0012269E" w:rsidRDefault="000B1658" w:rsidP="00D8210B">
            <w:pPr>
              <w:suppressAutoHyphens/>
            </w:pPr>
            <w:r>
              <w:rPr>
                <w:sz w:val="22"/>
              </w:rPr>
              <w:t>National</w:t>
            </w:r>
          </w:p>
        </w:tc>
      </w:tr>
    </w:tbl>
    <w:p w:rsidR="000B1658" w:rsidRDefault="000B1658">
      <w:pPr>
        <w:rPr>
          <w:lang w:val="en-US"/>
        </w:rPr>
      </w:pPr>
    </w:p>
    <w:p w:rsidR="000B1658" w:rsidRDefault="000B1658">
      <w:pPr>
        <w:rPr>
          <w:lang w:val="en-US"/>
        </w:rPr>
      </w:pPr>
      <w:r>
        <w:rPr>
          <w:lang w:val="en-US"/>
        </w:rPr>
        <w:br w:type="page"/>
      </w:r>
    </w:p>
    <w:p w:rsidR="000B1658" w:rsidRDefault="000B1658" w:rsidP="0031181E">
      <w:pPr>
        <w:rPr>
          <w:lang w:val="en-US"/>
        </w:rPr>
        <w:sectPr w:rsidR="000B1658" w:rsidSect="000B1658">
          <w:pgSz w:w="16834" w:h="11909" w:orient="landscape" w:code="9"/>
          <w:pgMar w:top="1440" w:right="1354" w:bottom="1296" w:left="1080" w:header="288" w:footer="432" w:gutter="0"/>
          <w:cols w:space="708"/>
          <w:docGrid w:linePitch="360"/>
        </w:sectPr>
      </w:pPr>
    </w:p>
    <w:p w:rsidR="000B1658" w:rsidRDefault="000B1658" w:rsidP="0031181E">
      <w:pPr>
        <w:rPr>
          <w:lang w:val="en-US"/>
        </w:rPr>
      </w:pPr>
    </w:p>
    <w:p w:rsidR="000B1658" w:rsidRPr="0031181E" w:rsidRDefault="000B1658" w:rsidP="0031181E">
      <w:pPr>
        <w:rPr>
          <w:lang w:val="en-US"/>
        </w:rPr>
      </w:pPr>
    </w:p>
    <w:p w:rsidR="003615F1" w:rsidRPr="0031181E" w:rsidRDefault="0031181E" w:rsidP="0031181E">
      <w:pPr>
        <w:pStyle w:val="Heading2"/>
        <w:jc w:val="both"/>
      </w:pPr>
      <w:r>
        <w:t xml:space="preserve">A detailed explanation of the process involved in the definition of the Relevant Markets for Telecommunication Services and related products in the UAE can be found </w:t>
      </w:r>
      <w:r w:rsidRPr="00142F3E">
        <w:t>in Annex 1 to this</w:t>
      </w:r>
      <w:r>
        <w:t xml:space="preserve"> Determination. </w:t>
      </w:r>
    </w:p>
    <w:p w:rsidR="0031181E" w:rsidRPr="0031181E" w:rsidRDefault="0031181E" w:rsidP="0031181E">
      <w:pPr>
        <w:rPr>
          <w:lang w:val="en-US"/>
        </w:rPr>
      </w:pPr>
    </w:p>
    <w:p w:rsidR="000B30A9" w:rsidRDefault="000B30A9" w:rsidP="00D261ED">
      <w:pPr>
        <w:suppressAutoHyphens/>
        <w:rPr>
          <w:lang w:val="en-US"/>
        </w:rPr>
      </w:pPr>
    </w:p>
    <w:p w:rsidR="009E2E22" w:rsidRDefault="005966DD" w:rsidP="00D261ED">
      <w:pPr>
        <w:pStyle w:val="Heading1"/>
        <w:jc w:val="both"/>
      </w:pPr>
      <w:bookmarkStart w:id="3" w:name="_Toc280718014"/>
      <w:r>
        <w:t>Effective Date</w:t>
      </w:r>
      <w:bookmarkEnd w:id="3"/>
    </w:p>
    <w:p w:rsidR="009E2E22" w:rsidRDefault="009E2E22" w:rsidP="00D261ED">
      <w:pPr>
        <w:suppressAutoHyphens/>
        <w:jc w:val="both"/>
        <w:rPr>
          <w:lang w:val="en-US"/>
        </w:rPr>
      </w:pPr>
    </w:p>
    <w:p w:rsidR="009E2E22" w:rsidRDefault="005966DD" w:rsidP="00D261ED">
      <w:pPr>
        <w:pStyle w:val="Heading2"/>
        <w:jc w:val="both"/>
      </w:pPr>
      <w:r>
        <w:t>This Determination shall become effective upon issuance.</w:t>
      </w:r>
    </w:p>
    <w:p w:rsidR="009E2E22" w:rsidRDefault="009E2E22" w:rsidP="00D261ED">
      <w:pPr>
        <w:suppressAutoHyphens/>
        <w:jc w:val="both"/>
        <w:rPr>
          <w:lang w:val="en-US"/>
        </w:rPr>
      </w:pPr>
    </w:p>
    <w:p w:rsidR="009E2E22" w:rsidRDefault="009E2E22" w:rsidP="00D261ED">
      <w:pPr>
        <w:suppressAutoHyphens/>
        <w:jc w:val="both"/>
        <w:rPr>
          <w:lang w:val="en-US"/>
        </w:rPr>
      </w:pPr>
    </w:p>
    <w:p w:rsidR="009E2E22" w:rsidRDefault="005966DD" w:rsidP="00D261ED">
      <w:pPr>
        <w:pStyle w:val="Heading1"/>
        <w:keepNext/>
        <w:jc w:val="both"/>
      </w:pPr>
      <w:bookmarkStart w:id="4" w:name="_Toc280718015"/>
      <w:r>
        <w:t>Acknowledgement</w:t>
      </w:r>
      <w:bookmarkEnd w:id="4"/>
      <w:r>
        <w:t xml:space="preserve"> </w:t>
      </w:r>
    </w:p>
    <w:p w:rsidR="009E2E22" w:rsidRDefault="009E2E22" w:rsidP="00D261ED">
      <w:pPr>
        <w:keepNext/>
        <w:suppressAutoHyphens/>
        <w:jc w:val="both"/>
        <w:rPr>
          <w:lang w:val="en-US"/>
        </w:rPr>
      </w:pPr>
    </w:p>
    <w:p w:rsidR="009E2E22" w:rsidRDefault="002A70DB" w:rsidP="00D261ED">
      <w:pPr>
        <w:pStyle w:val="Heading2"/>
        <w:keepNext/>
        <w:jc w:val="both"/>
      </w:pPr>
      <w:r w:rsidRPr="00142F3E">
        <w:t>Each</w:t>
      </w:r>
      <w:r w:rsidR="000B1658" w:rsidRPr="00142F3E">
        <w:t xml:space="preserve"> Licensee</w:t>
      </w:r>
      <w:r w:rsidR="00445634">
        <w:t xml:space="preserve"> </w:t>
      </w:r>
      <w:r w:rsidR="005966DD">
        <w:t>shall notify the TRA in writing of receipt of this Determination within one (1) business day of the date it is received.</w:t>
      </w:r>
    </w:p>
    <w:p w:rsidR="00444A69" w:rsidRPr="00553E7D" w:rsidRDefault="00444A69" w:rsidP="00D261ED">
      <w:pPr>
        <w:pStyle w:val="ListParagraph"/>
        <w:suppressAutoHyphens/>
        <w:jc w:val="both"/>
        <w:outlineLvl w:val="0"/>
        <w:rPr>
          <w:rFonts w:asciiTheme="majorBidi" w:hAnsiTheme="majorBidi" w:cstheme="majorBidi"/>
          <w:b/>
          <w:bCs/>
          <w:lang w:val="en-US"/>
        </w:rPr>
      </w:pPr>
    </w:p>
    <w:p w:rsidR="00444A69" w:rsidRPr="000B1658" w:rsidRDefault="00444A69" w:rsidP="00D261ED">
      <w:pPr>
        <w:suppressAutoHyphens/>
        <w:jc w:val="both"/>
        <w:outlineLvl w:val="0"/>
        <w:rPr>
          <w:rFonts w:asciiTheme="majorBidi" w:hAnsiTheme="majorBidi" w:cstheme="majorBidi"/>
          <w:b/>
          <w:bCs/>
          <w:rtl/>
          <w:lang w:val="en-US"/>
        </w:rPr>
      </w:pPr>
    </w:p>
    <w:sectPr w:rsidR="00444A69" w:rsidRPr="000B1658" w:rsidSect="000B1658">
      <w:pgSz w:w="11909" w:h="16834" w:code="9"/>
      <w:pgMar w:top="1354" w:right="1296" w:bottom="1080" w:left="1440" w:header="28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24" w:rsidRDefault="00E56824">
      <w:r>
        <w:separator/>
      </w:r>
    </w:p>
  </w:endnote>
  <w:endnote w:type="continuationSeparator" w:id="1">
    <w:p w:rsidR="00E56824" w:rsidRDefault="00E56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w:altName w:val="Times New Roman"/>
    <w:panose1 w:val="00000000000000000000"/>
    <w:charset w:val="B2"/>
    <w:family w:val="auto"/>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DD" w:rsidRDefault="00891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11" w:rsidRDefault="00447611" w:rsidP="009F11CE">
    <w:pPr>
      <w:pStyle w:val="Footer"/>
      <w:tabs>
        <w:tab w:val="clear" w:pos="4320"/>
        <w:tab w:val="clear" w:pos="8640"/>
        <w:tab w:val="right" w:pos="9180"/>
      </w:tabs>
      <w:jc w:val="center"/>
      <w:rPr>
        <w:rtl/>
        <w:lang w:bidi="ar-AE"/>
      </w:rPr>
    </w:pPr>
    <w:r w:rsidRPr="009F11CE">
      <w:rPr>
        <w:sz w:val="20"/>
        <w:szCs w:val="20"/>
      </w:rPr>
      <w:t xml:space="preserve">- </w:t>
    </w:r>
    <w:r w:rsidR="007B1AE5" w:rsidRPr="009F11CE">
      <w:rPr>
        <w:sz w:val="20"/>
        <w:szCs w:val="20"/>
      </w:rPr>
      <w:fldChar w:fldCharType="begin"/>
    </w:r>
    <w:r w:rsidRPr="009F11CE">
      <w:rPr>
        <w:sz w:val="20"/>
        <w:szCs w:val="20"/>
      </w:rPr>
      <w:instrText xml:space="preserve"> PAGE </w:instrText>
    </w:r>
    <w:r w:rsidR="007B1AE5" w:rsidRPr="009F11CE">
      <w:rPr>
        <w:sz w:val="20"/>
        <w:szCs w:val="20"/>
      </w:rPr>
      <w:fldChar w:fldCharType="separate"/>
    </w:r>
    <w:r w:rsidR="005F43C8">
      <w:rPr>
        <w:noProof/>
        <w:sz w:val="20"/>
        <w:szCs w:val="20"/>
      </w:rPr>
      <w:t>2</w:t>
    </w:r>
    <w:r w:rsidR="007B1AE5" w:rsidRPr="009F11CE">
      <w:rPr>
        <w:sz w:val="20"/>
        <w:szCs w:val="20"/>
      </w:rPr>
      <w:fldChar w:fldCharType="end"/>
    </w:r>
    <w:r w:rsidRPr="009F11CE">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11" w:rsidRPr="00656990" w:rsidRDefault="00447611" w:rsidP="002F5B6B">
    <w:pPr>
      <w:pBdr>
        <w:top w:val="single" w:sz="18" w:space="0" w:color="auto"/>
      </w:pBdr>
      <w:suppressAutoHyphens/>
      <w:jc w:val="center"/>
      <w:rPr>
        <w:sz w:val="18"/>
        <w:szCs w:val="18"/>
      </w:rPr>
    </w:pPr>
  </w:p>
  <w:p w:rsidR="00447611" w:rsidRPr="00656990" w:rsidRDefault="00447611" w:rsidP="006522FE">
    <w:pPr>
      <w:suppressAutoHyphens/>
      <w:jc w:val="center"/>
      <w:rPr>
        <w:sz w:val="18"/>
        <w:szCs w:val="18"/>
      </w:rPr>
    </w:pPr>
    <w:r w:rsidRPr="00656990">
      <w:rPr>
        <w:sz w:val="18"/>
        <w:szCs w:val="18"/>
      </w:rPr>
      <w:t>Telecommunications Regulatory Autho</w:t>
    </w:r>
    <w:r>
      <w:rPr>
        <w:sz w:val="18"/>
        <w:szCs w:val="18"/>
      </w:rPr>
      <w:t>rity (TRA</w:t>
    </w:r>
    <w:proofErr w:type="gramStart"/>
    <w:r>
      <w:rPr>
        <w:sz w:val="18"/>
        <w:szCs w:val="18"/>
      </w:rPr>
      <w:t>)</w:t>
    </w:r>
    <w:proofErr w:type="gramEnd"/>
    <w:r w:rsidRPr="00656990">
      <w:rPr>
        <w:sz w:val="18"/>
        <w:szCs w:val="18"/>
      </w:rPr>
      <w:br/>
      <w:t>P O Box 26662, Abu Dhabi, United Arab Emirates (UAE</w:t>
    </w:r>
    <w:r>
      <w:rPr>
        <w:sz w:val="18"/>
        <w:szCs w:val="18"/>
      </w:rPr>
      <w:t>)</w:t>
    </w:r>
    <w:r w:rsidRPr="00656990">
      <w:rPr>
        <w:sz w:val="18"/>
        <w:szCs w:val="18"/>
      </w:rPr>
      <w:br/>
    </w:r>
    <w:hyperlink r:id="rId1" w:history="1">
      <w:r w:rsidRPr="0071094C">
        <w:rPr>
          <w:rStyle w:val="Hyperlink"/>
          <w:sz w:val="18"/>
          <w:szCs w:val="18"/>
        </w:rPr>
        <w:t>www.tra.gov.ae</w:t>
      </w:r>
    </w:hyperlink>
  </w:p>
  <w:p w:rsidR="00447611" w:rsidRPr="00656990" w:rsidRDefault="00447611" w:rsidP="00333D3B">
    <w:pPr>
      <w:pBdr>
        <w:bottom w:val="single" w:sz="18" w:space="1" w:color="auto"/>
      </w:pBdr>
      <w:suppressAutoHyphens/>
      <w:rPr>
        <w:sz w:val="18"/>
        <w:szCs w:val="18"/>
      </w:rPr>
    </w:pPr>
  </w:p>
  <w:p w:rsidR="00447611" w:rsidRPr="00C84651" w:rsidRDefault="00447611" w:rsidP="005A53BD">
    <w:pPr>
      <w:pStyle w:val="Footer"/>
      <w:tabs>
        <w:tab w:val="clear" w:pos="4320"/>
        <w:tab w:val="clear" w:pos="8640"/>
        <w:tab w:val="right" w:pos="9180"/>
      </w:tabs>
      <w:rPr>
        <w:sz w:val="20"/>
        <w:szCs w:val="20"/>
      </w:rPr>
    </w:pPr>
  </w:p>
  <w:p w:rsidR="00447611" w:rsidRDefault="00447611" w:rsidP="005A53BD">
    <w:pPr>
      <w:pStyle w:val="Footer"/>
      <w:tabs>
        <w:tab w:val="clear" w:pos="4320"/>
        <w:tab w:val="clear" w:pos="8640"/>
        <w:tab w:val="right" w:pos="9180"/>
      </w:tabs>
      <w:rPr>
        <w:sz w:val="20"/>
        <w:szCs w:val="20"/>
      </w:rPr>
    </w:pPr>
    <w:r>
      <w:rPr>
        <w:noProof/>
        <w:sz w:val="20"/>
        <w:szCs w:val="20"/>
        <w:lang w:val="en-US"/>
      </w:rPr>
      <w:drawing>
        <wp:anchor distT="0" distB="0" distL="114300" distR="114300" simplePos="0" relativeHeight="251661312" behindDoc="0" locked="0" layoutInCell="1" allowOverlap="1">
          <wp:simplePos x="0" y="0"/>
          <wp:positionH relativeFrom="column">
            <wp:posOffset>-931545</wp:posOffset>
          </wp:positionH>
          <wp:positionV relativeFrom="paragraph">
            <wp:posOffset>110490</wp:posOffset>
          </wp:positionV>
          <wp:extent cx="7499985" cy="887095"/>
          <wp:effectExtent l="19050" t="0" r="5715" b="0"/>
          <wp:wrapSquare wrapText="bothSides"/>
          <wp:docPr id="1"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stretch>
                    <a:fillRect/>
                  </a:stretch>
                </pic:blipFill>
                <pic:spPr>
                  <a:xfrm>
                    <a:off x="0" y="0"/>
                    <a:ext cx="7499985" cy="887095"/>
                  </a:xfrm>
                  <a:prstGeom prst="rect">
                    <a:avLst/>
                  </a:prstGeom>
                </pic:spPr>
              </pic:pic>
            </a:graphicData>
          </a:graphic>
        </wp:anchor>
      </w:drawing>
    </w:r>
  </w:p>
  <w:p w:rsidR="00447611" w:rsidRDefault="00447611" w:rsidP="005A53BD">
    <w:pPr>
      <w:pStyle w:val="Footer"/>
      <w:tabs>
        <w:tab w:val="clear" w:pos="4320"/>
        <w:tab w:val="clear" w:pos="8640"/>
        <w:tab w:val="right" w:pos="9180"/>
      </w:tabs>
      <w:rPr>
        <w:sz w:val="20"/>
        <w:szCs w:val="20"/>
      </w:rPr>
    </w:pPr>
  </w:p>
  <w:p w:rsidR="00447611" w:rsidRDefault="00447611" w:rsidP="005A53BD">
    <w:pPr>
      <w:pStyle w:val="Footer"/>
      <w:tabs>
        <w:tab w:val="clear" w:pos="4320"/>
        <w:tab w:val="clear" w:pos="8640"/>
        <w:tab w:val="right" w:pos="9180"/>
      </w:tabs>
      <w:rPr>
        <w:sz w:val="20"/>
        <w:szCs w:val="20"/>
      </w:rPr>
    </w:pPr>
  </w:p>
  <w:p w:rsidR="00447611" w:rsidRPr="00C84651" w:rsidRDefault="00447611" w:rsidP="005A53BD">
    <w:pPr>
      <w:pStyle w:val="Footer"/>
      <w:tabs>
        <w:tab w:val="clear" w:pos="4320"/>
        <w:tab w:val="clear" w:pos="8640"/>
        <w:tab w:val="right" w:pos="9180"/>
      </w:tabs>
      <w:rPr>
        <w:sz w:val="20"/>
        <w:szCs w:val="20"/>
      </w:rPr>
    </w:pPr>
  </w:p>
  <w:p w:rsidR="00447611" w:rsidRPr="00C84651" w:rsidRDefault="00447611" w:rsidP="005A53BD">
    <w:pPr>
      <w:pStyle w:val="Footer"/>
      <w:tabs>
        <w:tab w:val="clear" w:pos="4320"/>
        <w:tab w:val="clear" w:pos="8640"/>
        <w:tab w:val="right" w:pos="91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24" w:rsidRDefault="00E56824">
      <w:r>
        <w:separator/>
      </w:r>
    </w:p>
  </w:footnote>
  <w:footnote w:type="continuationSeparator" w:id="1">
    <w:p w:rsidR="00E56824" w:rsidRDefault="00E56824">
      <w:r>
        <w:continuationSeparator/>
      </w:r>
    </w:p>
  </w:footnote>
  <w:footnote w:id="2">
    <w:p w:rsidR="000B1658" w:rsidRDefault="000B1658" w:rsidP="000B1658">
      <w:pPr>
        <w:pStyle w:val="FootnoteText"/>
        <w:suppressAutoHyphens/>
      </w:pPr>
      <w:r>
        <w:rPr>
          <w:rStyle w:val="FootnoteReference"/>
        </w:rPr>
        <w:footnoteRef/>
      </w:r>
      <w:r>
        <w:t xml:space="preserve"> Retail Market</w:t>
      </w:r>
    </w:p>
    <w:p w:rsidR="000B1658" w:rsidRDefault="000B1658" w:rsidP="000B1658">
      <w:pPr>
        <w:pStyle w:val="FootnoteText"/>
        <w:suppressAutoHyphens/>
      </w:pPr>
    </w:p>
  </w:footnote>
  <w:footnote w:id="3">
    <w:p w:rsidR="000B1658" w:rsidRDefault="000B1658" w:rsidP="000B1658">
      <w:pPr>
        <w:pStyle w:val="FootnoteText"/>
        <w:suppressAutoHyphens/>
      </w:pPr>
      <w:r>
        <w:rPr>
          <w:rStyle w:val="FootnoteReference"/>
        </w:rPr>
        <w:footnoteRef/>
      </w:r>
      <w:r>
        <w:t xml:space="preserve"> For the avoidance of doubt, the term business Customers includes all non-residential Customers (for example, private firms, government entities, schools and other academic institutions, hospitals, etc.) </w:t>
      </w:r>
    </w:p>
  </w:footnote>
  <w:footnote w:id="4">
    <w:p w:rsidR="000B1658" w:rsidRDefault="000B1658" w:rsidP="000B1658">
      <w:pPr>
        <w:pStyle w:val="FootnoteText"/>
        <w:suppressAutoHyphens/>
      </w:pPr>
      <w:r>
        <w:rPr>
          <w:rStyle w:val="FootnoteReference"/>
        </w:rPr>
        <w:footnoteRef/>
      </w:r>
      <w:r>
        <w:t xml:space="preserve"> Wholesale Market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DD" w:rsidRDefault="00891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11" w:rsidRDefault="00447611" w:rsidP="004B1BD6">
    <w:pPr>
      <w:pStyle w:val="Header"/>
      <w:rPr>
        <w:noProof/>
        <w:lang w:val="en-US"/>
      </w:rPr>
    </w:pPr>
    <w:r>
      <w:rPr>
        <w:noProof/>
        <w:lang w:val="en-US"/>
      </w:rPr>
      <w:drawing>
        <wp:anchor distT="0" distB="0" distL="114300" distR="114300" simplePos="0" relativeHeight="251663360" behindDoc="0" locked="0" layoutInCell="1" allowOverlap="1">
          <wp:simplePos x="0" y="0"/>
          <wp:positionH relativeFrom="margin">
            <wp:posOffset>-922020</wp:posOffset>
          </wp:positionH>
          <wp:positionV relativeFrom="margin">
            <wp:posOffset>-1979295</wp:posOffset>
          </wp:positionV>
          <wp:extent cx="7585710" cy="1438910"/>
          <wp:effectExtent l="19050" t="0" r="0" b="0"/>
          <wp:wrapNone/>
          <wp:docPr id="5"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5710" cy="1438910"/>
                  </a:xfrm>
                  <a:prstGeom prst="rect">
                    <a:avLst/>
                  </a:prstGeom>
                </pic:spPr>
              </pic:pic>
            </a:graphicData>
          </a:graphic>
        </wp:anchor>
      </w:drawing>
    </w:r>
  </w:p>
  <w:p w:rsidR="00447611" w:rsidRDefault="00447611" w:rsidP="004B1BD6">
    <w:pPr>
      <w:pStyle w:val="Header"/>
      <w:rPr>
        <w:noProof/>
        <w:lang w:val="en-US"/>
      </w:rPr>
    </w:pPr>
  </w:p>
  <w:p w:rsidR="00447611" w:rsidRDefault="00447611" w:rsidP="004B1BD6">
    <w:pPr>
      <w:pStyle w:val="Header"/>
    </w:pPr>
  </w:p>
  <w:p w:rsidR="00447611" w:rsidRDefault="00447611" w:rsidP="004B1BD6">
    <w:pPr>
      <w:pStyle w:val="Header"/>
    </w:pPr>
  </w:p>
  <w:p w:rsidR="00447611" w:rsidRDefault="00447611" w:rsidP="004B1BD6">
    <w:pPr>
      <w:pStyle w:val="Header"/>
    </w:pPr>
  </w:p>
  <w:p w:rsidR="00447611" w:rsidRDefault="00447611" w:rsidP="004B1BD6">
    <w:pPr>
      <w:pStyle w:val="Header"/>
    </w:pPr>
  </w:p>
  <w:p w:rsidR="00447611" w:rsidRDefault="00447611" w:rsidP="004B1BD6">
    <w:pPr>
      <w:pStyle w:val="Header"/>
    </w:pPr>
  </w:p>
  <w:p w:rsidR="00447611" w:rsidRDefault="00447611" w:rsidP="004B1BD6">
    <w:pPr>
      <w:pStyle w:val="Header"/>
    </w:pPr>
  </w:p>
  <w:p w:rsidR="00447611" w:rsidRDefault="00447611" w:rsidP="005F43C8">
    <w:pPr>
      <w:rPr>
        <w:b/>
        <w:bCs/>
        <w:sz w:val="18"/>
        <w:szCs w:val="18"/>
      </w:rPr>
    </w:pPr>
    <w:r w:rsidRPr="005750FB">
      <w:rPr>
        <w:b/>
        <w:bCs/>
        <w:sz w:val="18"/>
        <w:szCs w:val="18"/>
      </w:rPr>
      <w:t>Determination No. (</w:t>
    </w:r>
    <w:r w:rsidR="00E26CF5">
      <w:rPr>
        <w:b/>
        <w:bCs/>
        <w:sz w:val="18"/>
        <w:szCs w:val="18"/>
      </w:rPr>
      <w:t>1</w:t>
    </w:r>
    <w:r w:rsidRPr="005750FB">
      <w:rPr>
        <w:b/>
        <w:bCs/>
        <w:sz w:val="18"/>
        <w:szCs w:val="18"/>
      </w:rPr>
      <w:t xml:space="preserve">) </w:t>
    </w:r>
    <w:proofErr w:type="gramStart"/>
    <w:r w:rsidRPr="005750FB">
      <w:rPr>
        <w:b/>
        <w:bCs/>
        <w:sz w:val="18"/>
        <w:szCs w:val="18"/>
      </w:rPr>
      <w:t>of</w:t>
    </w:r>
    <w:proofErr w:type="gramEnd"/>
    <w:r w:rsidRPr="005750FB">
      <w:rPr>
        <w:b/>
        <w:bCs/>
        <w:sz w:val="18"/>
        <w:szCs w:val="18"/>
      </w:rPr>
      <w:t xml:space="preserve"> 201</w:t>
    </w:r>
    <w:r w:rsidR="00E26CF5">
      <w:rPr>
        <w:b/>
        <w:bCs/>
        <w:sz w:val="18"/>
        <w:szCs w:val="18"/>
      </w:rPr>
      <w:t>1</w:t>
    </w:r>
    <w:r w:rsidRPr="00E60B46">
      <w:rPr>
        <w:b/>
        <w:bCs/>
        <w:sz w:val="18"/>
        <w:szCs w:val="18"/>
      </w:rPr>
      <w:t xml:space="preserve">, </w:t>
    </w:r>
    <w:r w:rsidR="00142F3E">
      <w:rPr>
        <w:b/>
        <w:bCs/>
        <w:sz w:val="18"/>
        <w:szCs w:val="18"/>
      </w:rPr>
      <w:t>Relevant Markets for Telecommunications Services and Related Products in the UAE</w:t>
    </w:r>
    <w:r w:rsidR="00142F3E" w:rsidRPr="005750FB">
      <w:rPr>
        <w:b/>
        <w:bCs/>
        <w:sz w:val="18"/>
        <w:szCs w:val="18"/>
      </w:rPr>
      <w:t>, Issued</w:t>
    </w:r>
    <w:r w:rsidR="00142F3E" w:rsidRPr="00E60B46">
      <w:rPr>
        <w:b/>
        <w:bCs/>
        <w:sz w:val="18"/>
        <w:szCs w:val="18"/>
      </w:rPr>
      <w:t xml:space="preserve"> </w:t>
    </w:r>
    <w:r w:rsidR="005F43C8">
      <w:rPr>
        <w:b/>
        <w:bCs/>
        <w:sz w:val="18"/>
        <w:szCs w:val="18"/>
      </w:rPr>
      <w:t>23</w:t>
    </w:r>
    <w:r w:rsidR="00142F3E">
      <w:rPr>
        <w:b/>
        <w:bCs/>
        <w:sz w:val="18"/>
        <w:szCs w:val="18"/>
      </w:rPr>
      <w:t xml:space="preserve"> </w:t>
    </w:r>
    <w:r w:rsidR="00F901F8">
      <w:rPr>
        <w:b/>
        <w:bCs/>
        <w:sz w:val="18"/>
        <w:szCs w:val="18"/>
      </w:rPr>
      <w:t>January</w:t>
    </w:r>
    <w:r w:rsidR="00142F3E" w:rsidRPr="00E60B46">
      <w:rPr>
        <w:b/>
        <w:bCs/>
        <w:sz w:val="18"/>
        <w:szCs w:val="18"/>
      </w:rPr>
      <w:t xml:space="preserve"> 201</w:t>
    </w:r>
    <w:r w:rsidR="00E26CF5">
      <w:rPr>
        <w:b/>
        <w:bCs/>
        <w:sz w:val="18"/>
        <w:szCs w:val="18"/>
      </w:rPr>
      <w:t>1</w:t>
    </w:r>
  </w:p>
  <w:p w:rsidR="00447611" w:rsidRDefault="00447611" w:rsidP="004B1BD6">
    <w:pPr>
      <w:rPr>
        <w:b/>
        <w:bCs/>
        <w:sz w:val="18"/>
        <w:szCs w:val="18"/>
      </w:rPr>
    </w:pPr>
  </w:p>
  <w:p w:rsidR="00447611" w:rsidRPr="004B1BD6" w:rsidRDefault="00447611" w:rsidP="004B1BD6">
    <w:pPr>
      <w:rPr>
        <w:b/>
        <w:bCs/>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11" w:rsidRPr="007E54F2" w:rsidRDefault="00447611">
    <w:pPr>
      <w:pStyle w:val="Header"/>
    </w:pPr>
    <w:r>
      <w:rPr>
        <w:noProof/>
        <w:lang w:val="en-US"/>
      </w:rPr>
      <w:drawing>
        <wp:anchor distT="0" distB="0" distL="114300" distR="114300" simplePos="0" relativeHeight="251658240" behindDoc="0" locked="0" layoutInCell="1" allowOverlap="1">
          <wp:simplePos x="0" y="0"/>
          <wp:positionH relativeFrom="margin">
            <wp:posOffset>-931545</wp:posOffset>
          </wp:positionH>
          <wp:positionV relativeFrom="margin">
            <wp:posOffset>-996315</wp:posOffset>
          </wp:positionV>
          <wp:extent cx="7583170" cy="1438910"/>
          <wp:effectExtent l="19050" t="0" r="0" b="0"/>
          <wp:wrapSquare wrapText="bothSides"/>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3170" cy="1438910"/>
                  </a:xfrm>
                  <a:prstGeom prst="rect">
                    <a:avLst/>
                  </a:prstGeom>
                </pic:spPr>
              </pic:pic>
            </a:graphicData>
          </a:graphic>
        </wp:anchor>
      </w:drawing>
    </w:r>
  </w:p>
  <w:p w:rsidR="00447611" w:rsidRPr="007E54F2" w:rsidRDefault="00447611">
    <w:pPr>
      <w:pStyle w:val="Header"/>
    </w:pPr>
  </w:p>
  <w:p w:rsidR="00447611" w:rsidRDefault="00447611">
    <w:pPr>
      <w:pStyle w:val="Header"/>
    </w:pPr>
  </w:p>
  <w:p w:rsidR="00447611" w:rsidRPr="007E54F2" w:rsidRDefault="00447611">
    <w:pPr>
      <w:pStyle w:val="Header"/>
    </w:pPr>
  </w:p>
  <w:p w:rsidR="00447611" w:rsidRPr="007E54F2" w:rsidRDefault="00447611" w:rsidP="00333D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C2F73E"/>
    <w:lvl w:ilvl="0">
      <w:start w:val="1"/>
      <w:numFmt w:val="bullet"/>
      <w:lvlText w:val=""/>
      <w:lvlJc w:val="left"/>
      <w:pPr>
        <w:tabs>
          <w:tab w:val="num" w:pos="360"/>
        </w:tabs>
        <w:ind w:left="360" w:hanging="360"/>
      </w:pPr>
      <w:rPr>
        <w:rFonts w:ascii="Symbol" w:hAnsi="Symbol" w:hint="default"/>
      </w:rPr>
    </w:lvl>
  </w:abstractNum>
  <w:abstractNum w:abstractNumId="1">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B6E323A"/>
    <w:multiLevelType w:val="hybridMultilevel"/>
    <w:tmpl w:val="9E8A9772"/>
    <w:lvl w:ilvl="0" w:tplc="04090001">
      <w:start w:val="1"/>
      <w:numFmt w:val="bullet"/>
      <w:lvlText w:val=""/>
      <w:lvlJc w:val="left"/>
      <w:pPr>
        <w:ind w:left="975" w:hanging="360"/>
      </w:pPr>
      <w:rPr>
        <w:rFonts w:ascii="Symbol" w:hAnsi="Symbol" w:hint="default"/>
      </w:rPr>
    </w:lvl>
    <w:lvl w:ilvl="1" w:tplc="04090001">
      <w:start w:val="1"/>
      <w:numFmt w:val="bullet"/>
      <w:lvlText w:val=""/>
      <w:lvlJc w:val="left"/>
      <w:pPr>
        <w:ind w:left="1695" w:hanging="360"/>
      </w:pPr>
      <w:rPr>
        <w:rFonts w:ascii="Symbol" w:hAnsi="Symbol"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9A162A5"/>
    <w:multiLevelType w:val="hybridMultilevel"/>
    <w:tmpl w:val="406E37D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6F02B6"/>
    <w:multiLevelType w:val="hybridMultilevel"/>
    <w:tmpl w:val="5A0C00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0E2A9A"/>
    <w:multiLevelType w:val="multilevel"/>
    <w:tmpl w:val="3704F69E"/>
    <w:lvl w:ilvl="0">
      <w:start w:val="1"/>
      <w:numFmt w:val="decimal"/>
      <w:pStyle w:val="Heading1"/>
      <w:lvlText w:val="%1."/>
      <w:lvlJc w:val="left"/>
      <w:pPr>
        <w:tabs>
          <w:tab w:val="num" w:pos="720"/>
        </w:tabs>
        <w:ind w:left="720" w:hanging="720"/>
      </w:pPr>
      <w:rPr>
        <w:rFonts w:ascii="Arial" w:hAnsi="Arial" w:cs="Arial" w:hint="default"/>
        <w:b/>
        <w:bCs w:val="0"/>
        <w:i w:val="0"/>
        <w:iCs w:val="0"/>
        <w:caps w:val="0"/>
        <w:strike w:val="0"/>
        <w:dstrike w:val="0"/>
        <w:outline w:val="0"/>
        <w:shadow w:val="0"/>
        <w:emboss w:val="0"/>
        <w:imprint w:val="0"/>
        <w:vanish w:val="0"/>
        <w:sz w:val="24"/>
        <w:szCs w:val="24"/>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lowerLetter"/>
      <w:pStyle w:val="Heading3"/>
      <w:lvlText w:val="%3)"/>
      <w:lvlJc w:val="left"/>
      <w:pPr>
        <w:tabs>
          <w:tab w:val="num" w:pos="2160"/>
        </w:tabs>
        <w:ind w:left="2160" w:hanging="720"/>
      </w:pPr>
      <w:rPr>
        <w:rFonts w:hint="default"/>
        <w:b w:val="0"/>
        <w:bCs w:val="0"/>
        <w:i w:val="0"/>
        <w:iCs w:val="0"/>
        <w:caps w:val="0"/>
        <w:strike w:val="0"/>
        <w:dstrike w:val="0"/>
        <w:outline w:val="0"/>
        <w:shadow w:val="0"/>
        <w:emboss w:val="0"/>
        <w:imprint w:val="0"/>
        <w:vanish w:val="0"/>
        <w:color w:val="auto"/>
        <w:sz w:val="24"/>
        <w:szCs w:val="24"/>
        <w:vertAlign w:val="baseline"/>
      </w:rPr>
    </w:lvl>
    <w:lvl w:ilvl="3">
      <w:start w:val="1"/>
      <w:numFmt w:val="upperRoman"/>
      <w:pStyle w:val="Heading4"/>
      <w:lvlText w:val="%4."/>
      <w:lvlJc w:val="right"/>
      <w:pPr>
        <w:tabs>
          <w:tab w:val="num" w:pos="2880"/>
        </w:tabs>
        <w:ind w:left="2880" w:hanging="720"/>
      </w:pPr>
      <w:rPr>
        <w:rFonts w:hint="default"/>
        <w:b w:val="0"/>
        <w:bCs w:val="0"/>
      </w:rPr>
    </w:lvl>
    <w:lvl w:ilvl="4">
      <w:start w:val="1"/>
      <w:numFmt w:val="decimal"/>
      <w:pStyle w:val="Heading5"/>
      <w:lvlText w:val="%1.%2.%3.%4.%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nsid w:val="2A5E1C49"/>
    <w:multiLevelType w:val="hybridMultilevel"/>
    <w:tmpl w:val="926A8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872D16"/>
    <w:multiLevelType w:val="hybridMultilevel"/>
    <w:tmpl w:val="CB5E7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CF65A8"/>
    <w:multiLevelType w:val="hybridMultilevel"/>
    <w:tmpl w:val="5EE25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21698F"/>
    <w:multiLevelType w:val="hybridMultilevel"/>
    <w:tmpl w:val="84D666D8"/>
    <w:name w:val="Simmons&amp;Simmons"/>
    <w:lvl w:ilvl="0" w:tplc="5EBE239A">
      <w:start w:val="3"/>
      <w:numFmt w:val="bullet"/>
      <w:lvlText w:val="-"/>
      <w:lvlJc w:val="left"/>
      <w:pPr>
        <w:tabs>
          <w:tab w:val="num" w:pos="360"/>
        </w:tabs>
        <w:ind w:left="360" w:hanging="360"/>
      </w:pPr>
      <w:rPr>
        <w:rFonts w:ascii="Arial" w:eastAsia="Times New Roman" w:hAnsi="Arial" w:cs="AL-Mohanad" w:hint="default"/>
      </w:rPr>
    </w:lvl>
    <w:lvl w:ilvl="1" w:tplc="4D820228" w:tentative="1">
      <w:start w:val="1"/>
      <w:numFmt w:val="bullet"/>
      <w:lvlText w:val="o"/>
      <w:lvlJc w:val="left"/>
      <w:pPr>
        <w:tabs>
          <w:tab w:val="num" w:pos="1080"/>
        </w:tabs>
        <w:ind w:left="1080" w:hanging="360"/>
      </w:pPr>
      <w:rPr>
        <w:rFonts w:ascii="Courier New" w:hAnsi="Courier New" w:cs="Courier New" w:hint="default"/>
      </w:rPr>
    </w:lvl>
    <w:lvl w:ilvl="2" w:tplc="0742A87E" w:tentative="1">
      <w:start w:val="1"/>
      <w:numFmt w:val="bullet"/>
      <w:lvlText w:val=""/>
      <w:lvlJc w:val="left"/>
      <w:pPr>
        <w:tabs>
          <w:tab w:val="num" w:pos="1800"/>
        </w:tabs>
        <w:ind w:left="1800" w:hanging="360"/>
      </w:pPr>
      <w:rPr>
        <w:rFonts w:ascii="Wingdings" w:hAnsi="Wingdings" w:hint="default"/>
      </w:rPr>
    </w:lvl>
    <w:lvl w:ilvl="3" w:tplc="68A8823E" w:tentative="1">
      <w:start w:val="1"/>
      <w:numFmt w:val="bullet"/>
      <w:lvlText w:val=""/>
      <w:lvlJc w:val="left"/>
      <w:pPr>
        <w:tabs>
          <w:tab w:val="num" w:pos="2520"/>
        </w:tabs>
        <w:ind w:left="2520" w:hanging="360"/>
      </w:pPr>
      <w:rPr>
        <w:rFonts w:ascii="Symbol" w:hAnsi="Symbol" w:hint="default"/>
      </w:rPr>
    </w:lvl>
    <w:lvl w:ilvl="4" w:tplc="00BA40DE" w:tentative="1">
      <w:start w:val="1"/>
      <w:numFmt w:val="bullet"/>
      <w:lvlText w:val="o"/>
      <w:lvlJc w:val="left"/>
      <w:pPr>
        <w:tabs>
          <w:tab w:val="num" w:pos="3240"/>
        </w:tabs>
        <w:ind w:left="3240" w:hanging="360"/>
      </w:pPr>
      <w:rPr>
        <w:rFonts w:ascii="Courier New" w:hAnsi="Courier New" w:cs="Courier New" w:hint="default"/>
      </w:rPr>
    </w:lvl>
    <w:lvl w:ilvl="5" w:tplc="F6FA72DC" w:tentative="1">
      <w:start w:val="1"/>
      <w:numFmt w:val="bullet"/>
      <w:lvlText w:val=""/>
      <w:lvlJc w:val="left"/>
      <w:pPr>
        <w:tabs>
          <w:tab w:val="num" w:pos="3960"/>
        </w:tabs>
        <w:ind w:left="3960" w:hanging="360"/>
      </w:pPr>
      <w:rPr>
        <w:rFonts w:ascii="Wingdings" w:hAnsi="Wingdings" w:hint="default"/>
      </w:rPr>
    </w:lvl>
    <w:lvl w:ilvl="6" w:tplc="DBC23D06" w:tentative="1">
      <w:start w:val="1"/>
      <w:numFmt w:val="bullet"/>
      <w:lvlText w:val=""/>
      <w:lvlJc w:val="left"/>
      <w:pPr>
        <w:tabs>
          <w:tab w:val="num" w:pos="4680"/>
        </w:tabs>
        <w:ind w:left="4680" w:hanging="360"/>
      </w:pPr>
      <w:rPr>
        <w:rFonts w:ascii="Symbol" w:hAnsi="Symbol" w:hint="default"/>
      </w:rPr>
    </w:lvl>
    <w:lvl w:ilvl="7" w:tplc="8E4226CC" w:tentative="1">
      <w:start w:val="1"/>
      <w:numFmt w:val="bullet"/>
      <w:lvlText w:val="o"/>
      <w:lvlJc w:val="left"/>
      <w:pPr>
        <w:tabs>
          <w:tab w:val="num" w:pos="5400"/>
        </w:tabs>
        <w:ind w:left="5400" w:hanging="360"/>
      </w:pPr>
      <w:rPr>
        <w:rFonts w:ascii="Courier New" w:hAnsi="Courier New" w:cs="Courier New" w:hint="default"/>
      </w:rPr>
    </w:lvl>
    <w:lvl w:ilvl="8" w:tplc="DCC861C0" w:tentative="1">
      <w:start w:val="1"/>
      <w:numFmt w:val="bullet"/>
      <w:lvlText w:val=""/>
      <w:lvlJc w:val="left"/>
      <w:pPr>
        <w:tabs>
          <w:tab w:val="num" w:pos="6120"/>
        </w:tabs>
        <w:ind w:left="6120" w:hanging="360"/>
      </w:pPr>
      <w:rPr>
        <w:rFonts w:ascii="Wingdings" w:hAnsi="Wingdings" w:hint="default"/>
      </w:rPr>
    </w:lvl>
  </w:abstractNum>
  <w:abstractNum w:abstractNumId="10">
    <w:nsid w:val="47357DDC"/>
    <w:multiLevelType w:val="hybridMultilevel"/>
    <w:tmpl w:val="7F846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D7E45A3"/>
    <w:multiLevelType w:val="hybridMultilevel"/>
    <w:tmpl w:val="95926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2"/>
  </w:num>
  <w:num w:numId="3">
    <w:abstractNumId w:val="5"/>
  </w:num>
  <w:num w:numId="4">
    <w:abstractNumId w:val="11"/>
  </w:num>
  <w:num w:numId="5">
    <w:abstractNumId w:val="3"/>
  </w:num>
  <w:num w:numId="6">
    <w:abstractNumId w:val="5"/>
  </w:num>
  <w:num w:numId="7">
    <w:abstractNumId w:val="5"/>
  </w:num>
  <w:num w:numId="8">
    <w:abstractNumId w:val="5"/>
  </w:num>
  <w:num w:numId="9">
    <w:abstractNumId w:val="5"/>
  </w:num>
  <w:num w:numId="10">
    <w:abstractNumId w:val="5"/>
  </w:num>
  <w:num w:numId="11">
    <w:abstractNumId w:val="4"/>
  </w:num>
  <w:num w:numId="12">
    <w:abstractNumId w:val="8"/>
  </w:num>
  <w:num w:numId="13">
    <w:abstractNumId w:val="6"/>
  </w:num>
  <w:num w:numId="14">
    <w:abstractNumId w:val="5"/>
  </w:num>
  <w:num w:numId="15">
    <w:abstractNumId w:val="5"/>
  </w:num>
  <w:num w:numId="16">
    <w:abstractNumId w:val="5"/>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7"/>
  </w:num>
  <w:num w:numId="27">
    <w:abstractNumId w:val="5"/>
  </w:num>
  <w:num w:numId="28">
    <w:abstractNumId w:val="10"/>
  </w:num>
  <w:num w:numId="29">
    <w:abstractNumId w:val="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autoHyphenation/>
  <w:drawingGridHorizontalSpacing w:val="120"/>
  <w:displayHorizontalDrawingGridEvery w:val="2"/>
  <w:noPunctuationKerning/>
  <w:characterSpacingControl w:val="doNotCompress"/>
  <w:hdrShapeDefaults>
    <o:shapedefaults v:ext="edit" spidmax="26625"/>
  </w:hdrShapeDefaults>
  <w:footnotePr>
    <w:footnote w:id="0"/>
    <w:footnote w:id="1"/>
  </w:footnotePr>
  <w:endnotePr>
    <w:endnote w:id="0"/>
    <w:endnote w:id="1"/>
  </w:endnotePr>
  <w:compat>
    <w:applyBreakingRules/>
    <w:useFELayout/>
  </w:compat>
  <w:rsids>
    <w:rsidRoot w:val="009E7561"/>
    <w:rsid w:val="00000107"/>
    <w:rsid w:val="000006F5"/>
    <w:rsid w:val="00000717"/>
    <w:rsid w:val="00001B5C"/>
    <w:rsid w:val="0000237C"/>
    <w:rsid w:val="00002662"/>
    <w:rsid w:val="00002DA7"/>
    <w:rsid w:val="0000353A"/>
    <w:rsid w:val="00003CE5"/>
    <w:rsid w:val="00003D17"/>
    <w:rsid w:val="000047B0"/>
    <w:rsid w:val="00004DBB"/>
    <w:rsid w:val="00004E2F"/>
    <w:rsid w:val="0000525C"/>
    <w:rsid w:val="000057DE"/>
    <w:rsid w:val="00007905"/>
    <w:rsid w:val="000102D3"/>
    <w:rsid w:val="0001034A"/>
    <w:rsid w:val="000113B3"/>
    <w:rsid w:val="00012BEB"/>
    <w:rsid w:val="00015D97"/>
    <w:rsid w:val="00016D34"/>
    <w:rsid w:val="00017C73"/>
    <w:rsid w:val="00020E37"/>
    <w:rsid w:val="00021009"/>
    <w:rsid w:val="000227BB"/>
    <w:rsid w:val="00022C64"/>
    <w:rsid w:val="00022FF0"/>
    <w:rsid w:val="0002424A"/>
    <w:rsid w:val="00024A39"/>
    <w:rsid w:val="00024E79"/>
    <w:rsid w:val="00025002"/>
    <w:rsid w:val="0002598C"/>
    <w:rsid w:val="00025A4E"/>
    <w:rsid w:val="00025EE2"/>
    <w:rsid w:val="000260FE"/>
    <w:rsid w:val="0002761F"/>
    <w:rsid w:val="000277F0"/>
    <w:rsid w:val="00027E11"/>
    <w:rsid w:val="00030425"/>
    <w:rsid w:val="00030541"/>
    <w:rsid w:val="00031260"/>
    <w:rsid w:val="0003136E"/>
    <w:rsid w:val="00031DAD"/>
    <w:rsid w:val="00032AD6"/>
    <w:rsid w:val="00032C8A"/>
    <w:rsid w:val="00033466"/>
    <w:rsid w:val="00034596"/>
    <w:rsid w:val="0003505C"/>
    <w:rsid w:val="00035CEE"/>
    <w:rsid w:val="00035F89"/>
    <w:rsid w:val="00036E60"/>
    <w:rsid w:val="00037290"/>
    <w:rsid w:val="0004061F"/>
    <w:rsid w:val="00041326"/>
    <w:rsid w:val="000433A1"/>
    <w:rsid w:val="00043ECF"/>
    <w:rsid w:val="000448EB"/>
    <w:rsid w:val="00046980"/>
    <w:rsid w:val="00047E11"/>
    <w:rsid w:val="00047F0F"/>
    <w:rsid w:val="00050456"/>
    <w:rsid w:val="00050BE0"/>
    <w:rsid w:val="0005109E"/>
    <w:rsid w:val="0005120A"/>
    <w:rsid w:val="00051D98"/>
    <w:rsid w:val="0005339D"/>
    <w:rsid w:val="00053461"/>
    <w:rsid w:val="00054505"/>
    <w:rsid w:val="0005481C"/>
    <w:rsid w:val="000549C6"/>
    <w:rsid w:val="00055D39"/>
    <w:rsid w:val="00055DA5"/>
    <w:rsid w:val="00057097"/>
    <w:rsid w:val="00060AE9"/>
    <w:rsid w:val="00060C7F"/>
    <w:rsid w:val="00060CC2"/>
    <w:rsid w:val="000633B5"/>
    <w:rsid w:val="00063B21"/>
    <w:rsid w:val="00064C99"/>
    <w:rsid w:val="000657E9"/>
    <w:rsid w:val="00065EC9"/>
    <w:rsid w:val="00066017"/>
    <w:rsid w:val="00066140"/>
    <w:rsid w:val="00066659"/>
    <w:rsid w:val="000714C0"/>
    <w:rsid w:val="000717BE"/>
    <w:rsid w:val="00071EA9"/>
    <w:rsid w:val="00073AC1"/>
    <w:rsid w:val="00074C20"/>
    <w:rsid w:val="00074EE7"/>
    <w:rsid w:val="00076097"/>
    <w:rsid w:val="00077519"/>
    <w:rsid w:val="00077DFD"/>
    <w:rsid w:val="00080774"/>
    <w:rsid w:val="00081597"/>
    <w:rsid w:val="00081856"/>
    <w:rsid w:val="00081DC4"/>
    <w:rsid w:val="000856FF"/>
    <w:rsid w:val="00085B6D"/>
    <w:rsid w:val="00085F6B"/>
    <w:rsid w:val="00086A25"/>
    <w:rsid w:val="00087395"/>
    <w:rsid w:val="00087B54"/>
    <w:rsid w:val="0009066F"/>
    <w:rsid w:val="000915EE"/>
    <w:rsid w:val="00091A0C"/>
    <w:rsid w:val="000933C8"/>
    <w:rsid w:val="000935CB"/>
    <w:rsid w:val="000956BB"/>
    <w:rsid w:val="0009621D"/>
    <w:rsid w:val="00096B80"/>
    <w:rsid w:val="00096F89"/>
    <w:rsid w:val="000977D6"/>
    <w:rsid w:val="000979D7"/>
    <w:rsid w:val="000A0244"/>
    <w:rsid w:val="000A0C3B"/>
    <w:rsid w:val="000A0E92"/>
    <w:rsid w:val="000A0F5D"/>
    <w:rsid w:val="000A1113"/>
    <w:rsid w:val="000A214D"/>
    <w:rsid w:val="000A2D2F"/>
    <w:rsid w:val="000A34E7"/>
    <w:rsid w:val="000A3594"/>
    <w:rsid w:val="000A3771"/>
    <w:rsid w:val="000A41AD"/>
    <w:rsid w:val="000A6710"/>
    <w:rsid w:val="000A6C54"/>
    <w:rsid w:val="000A705D"/>
    <w:rsid w:val="000B1658"/>
    <w:rsid w:val="000B1750"/>
    <w:rsid w:val="000B20B3"/>
    <w:rsid w:val="000B2582"/>
    <w:rsid w:val="000B30A9"/>
    <w:rsid w:val="000B36B5"/>
    <w:rsid w:val="000B462C"/>
    <w:rsid w:val="000B5218"/>
    <w:rsid w:val="000B65EC"/>
    <w:rsid w:val="000B7886"/>
    <w:rsid w:val="000C11D6"/>
    <w:rsid w:val="000C1E9C"/>
    <w:rsid w:val="000C2725"/>
    <w:rsid w:val="000C2F0B"/>
    <w:rsid w:val="000C3138"/>
    <w:rsid w:val="000C329A"/>
    <w:rsid w:val="000C3411"/>
    <w:rsid w:val="000C3417"/>
    <w:rsid w:val="000C369C"/>
    <w:rsid w:val="000C4187"/>
    <w:rsid w:val="000C45DB"/>
    <w:rsid w:val="000C4825"/>
    <w:rsid w:val="000C5372"/>
    <w:rsid w:val="000C5A8F"/>
    <w:rsid w:val="000C7434"/>
    <w:rsid w:val="000C7528"/>
    <w:rsid w:val="000C7BD3"/>
    <w:rsid w:val="000D07AC"/>
    <w:rsid w:val="000D0A77"/>
    <w:rsid w:val="000D1246"/>
    <w:rsid w:val="000D1431"/>
    <w:rsid w:val="000D2972"/>
    <w:rsid w:val="000D2A6F"/>
    <w:rsid w:val="000D2CF9"/>
    <w:rsid w:val="000D5178"/>
    <w:rsid w:val="000D626F"/>
    <w:rsid w:val="000D650A"/>
    <w:rsid w:val="000D6650"/>
    <w:rsid w:val="000D685D"/>
    <w:rsid w:val="000D6EF9"/>
    <w:rsid w:val="000E03B1"/>
    <w:rsid w:val="000E12D3"/>
    <w:rsid w:val="000E17C2"/>
    <w:rsid w:val="000E2AB4"/>
    <w:rsid w:val="000E3600"/>
    <w:rsid w:val="000E5574"/>
    <w:rsid w:val="000E58CA"/>
    <w:rsid w:val="000F0B32"/>
    <w:rsid w:val="000F1908"/>
    <w:rsid w:val="000F266F"/>
    <w:rsid w:val="000F286E"/>
    <w:rsid w:val="000F3853"/>
    <w:rsid w:val="000F4087"/>
    <w:rsid w:val="000F5324"/>
    <w:rsid w:val="000F54B3"/>
    <w:rsid w:val="000F5E24"/>
    <w:rsid w:val="000F6D88"/>
    <w:rsid w:val="000F7398"/>
    <w:rsid w:val="000F74B6"/>
    <w:rsid w:val="00101D35"/>
    <w:rsid w:val="00101F65"/>
    <w:rsid w:val="0010228B"/>
    <w:rsid w:val="001027AC"/>
    <w:rsid w:val="00103622"/>
    <w:rsid w:val="00103750"/>
    <w:rsid w:val="00103DF9"/>
    <w:rsid w:val="0010413E"/>
    <w:rsid w:val="00104B4D"/>
    <w:rsid w:val="00106426"/>
    <w:rsid w:val="0010652B"/>
    <w:rsid w:val="00107135"/>
    <w:rsid w:val="001101F6"/>
    <w:rsid w:val="00110F13"/>
    <w:rsid w:val="0011361F"/>
    <w:rsid w:val="00114734"/>
    <w:rsid w:val="00117216"/>
    <w:rsid w:val="0011727B"/>
    <w:rsid w:val="00120CAC"/>
    <w:rsid w:val="00120D13"/>
    <w:rsid w:val="0012363E"/>
    <w:rsid w:val="00123C72"/>
    <w:rsid w:val="00123CC9"/>
    <w:rsid w:val="001271AE"/>
    <w:rsid w:val="001306A2"/>
    <w:rsid w:val="001306F1"/>
    <w:rsid w:val="00131745"/>
    <w:rsid w:val="001325E8"/>
    <w:rsid w:val="001333CD"/>
    <w:rsid w:val="00133E5B"/>
    <w:rsid w:val="001340BB"/>
    <w:rsid w:val="001358EB"/>
    <w:rsid w:val="00136590"/>
    <w:rsid w:val="00136CB4"/>
    <w:rsid w:val="00136D73"/>
    <w:rsid w:val="0014099E"/>
    <w:rsid w:val="00140E95"/>
    <w:rsid w:val="00141883"/>
    <w:rsid w:val="00142E86"/>
    <w:rsid w:val="00142F3E"/>
    <w:rsid w:val="00144262"/>
    <w:rsid w:val="001443E8"/>
    <w:rsid w:val="0014669B"/>
    <w:rsid w:val="00146808"/>
    <w:rsid w:val="00147335"/>
    <w:rsid w:val="001504CF"/>
    <w:rsid w:val="00153FD0"/>
    <w:rsid w:val="00155D39"/>
    <w:rsid w:val="00155F28"/>
    <w:rsid w:val="0015600D"/>
    <w:rsid w:val="00157CAD"/>
    <w:rsid w:val="001600C2"/>
    <w:rsid w:val="00160871"/>
    <w:rsid w:val="00160A96"/>
    <w:rsid w:val="00160E16"/>
    <w:rsid w:val="001617B7"/>
    <w:rsid w:val="00161BB8"/>
    <w:rsid w:val="00161FF6"/>
    <w:rsid w:val="00165748"/>
    <w:rsid w:val="00165B3B"/>
    <w:rsid w:val="00165EB3"/>
    <w:rsid w:val="00166D0B"/>
    <w:rsid w:val="00167866"/>
    <w:rsid w:val="00170120"/>
    <w:rsid w:val="00170DAF"/>
    <w:rsid w:val="001714ED"/>
    <w:rsid w:val="001735B6"/>
    <w:rsid w:val="00176E1D"/>
    <w:rsid w:val="00180033"/>
    <w:rsid w:val="00180746"/>
    <w:rsid w:val="00181228"/>
    <w:rsid w:val="001815D8"/>
    <w:rsid w:val="00181C75"/>
    <w:rsid w:val="001831DB"/>
    <w:rsid w:val="00183C94"/>
    <w:rsid w:val="00185995"/>
    <w:rsid w:val="00185F4D"/>
    <w:rsid w:val="001863F7"/>
    <w:rsid w:val="001875E5"/>
    <w:rsid w:val="001878A4"/>
    <w:rsid w:val="001905C1"/>
    <w:rsid w:val="00191133"/>
    <w:rsid w:val="001911E4"/>
    <w:rsid w:val="00191BAE"/>
    <w:rsid w:val="001928A3"/>
    <w:rsid w:val="00192AC6"/>
    <w:rsid w:val="00193272"/>
    <w:rsid w:val="00193525"/>
    <w:rsid w:val="00193DC8"/>
    <w:rsid w:val="00194878"/>
    <w:rsid w:val="00194938"/>
    <w:rsid w:val="00194D2E"/>
    <w:rsid w:val="001958C1"/>
    <w:rsid w:val="001A0C3A"/>
    <w:rsid w:val="001A0CB7"/>
    <w:rsid w:val="001A2089"/>
    <w:rsid w:val="001A31E2"/>
    <w:rsid w:val="001A4410"/>
    <w:rsid w:val="001A5131"/>
    <w:rsid w:val="001A6583"/>
    <w:rsid w:val="001A6709"/>
    <w:rsid w:val="001A7610"/>
    <w:rsid w:val="001B085B"/>
    <w:rsid w:val="001B0DC1"/>
    <w:rsid w:val="001B102A"/>
    <w:rsid w:val="001B18BA"/>
    <w:rsid w:val="001B25DB"/>
    <w:rsid w:val="001B31A9"/>
    <w:rsid w:val="001B3595"/>
    <w:rsid w:val="001B3EBB"/>
    <w:rsid w:val="001B4CAB"/>
    <w:rsid w:val="001B66E4"/>
    <w:rsid w:val="001B6B03"/>
    <w:rsid w:val="001B6FCC"/>
    <w:rsid w:val="001B7A37"/>
    <w:rsid w:val="001C0786"/>
    <w:rsid w:val="001C09BF"/>
    <w:rsid w:val="001C155C"/>
    <w:rsid w:val="001C2C7F"/>
    <w:rsid w:val="001C4F4B"/>
    <w:rsid w:val="001C5C27"/>
    <w:rsid w:val="001C6DF5"/>
    <w:rsid w:val="001C71A1"/>
    <w:rsid w:val="001D0514"/>
    <w:rsid w:val="001D0843"/>
    <w:rsid w:val="001D2240"/>
    <w:rsid w:val="001D25E8"/>
    <w:rsid w:val="001D4C1B"/>
    <w:rsid w:val="001D4F72"/>
    <w:rsid w:val="001D5A8F"/>
    <w:rsid w:val="001D639D"/>
    <w:rsid w:val="001E014D"/>
    <w:rsid w:val="001E1037"/>
    <w:rsid w:val="001E1726"/>
    <w:rsid w:val="001E185D"/>
    <w:rsid w:val="001E1965"/>
    <w:rsid w:val="001E1FAB"/>
    <w:rsid w:val="001E23F3"/>
    <w:rsid w:val="001E2A25"/>
    <w:rsid w:val="001E2D7F"/>
    <w:rsid w:val="001E4DCB"/>
    <w:rsid w:val="001E6BE1"/>
    <w:rsid w:val="001E7980"/>
    <w:rsid w:val="001F0993"/>
    <w:rsid w:val="001F290E"/>
    <w:rsid w:val="001F2CEA"/>
    <w:rsid w:val="001F3169"/>
    <w:rsid w:val="001F339A"/>
    <w:rsid w:val="001F44B4"/>
    <w:rsid w:val="001F4E8A"/>
    <w:rsid w:val="001F5257"/>
    <w:rsid w:val="001F595A"/>
    <w:rsid w:val="001F59D0"/>
    <w:rsid w:val="001F66B1"/>
    <w:rsid w:val="001F6981"/>
    <w:rsid w:val="001F7A59"/>
    <w:rsid w:val="00201C64"/>
    <w:rsid w:val="00202BE1"/>
    <w:rsid w:val="002034FC"/>
    <w:rsid w:val="00203E01"/>
    <w:rsid w:val="00205C6A"/>
    <w:rsid w:val="00205DB5"/>
    <w:rsid w:val="00206160"/>
    <w:rsid w:val="002062EE"/>
    <w:rsid w:val="002078B5"/>
    <w:rsid w:val="002079B2"/>
    <w:rsid w:val="00207CA4"/>
    <w:rsid w:val="00211165"/>
    <w:rsid w:val="00211735"/>
    <w:rsid w:val="00212A0B"/>
    <w:rsid w:val="00213AC9"/>
    <w:rsid w:val="002140E6"/>
    <w:rsid w:val="002141FA"/>
    <w:rsid w:val="0021466B"/>
    <w:rsid w:val="00215074"/>
    <w:rsid w:val="00215248"/>
    <w:rsid w:val="00215720"/>
    <w:rsid w:val="002157AE"/>
    <w:rsid w:val="0021650A"/>
    <w:rsid w:val="002174AB"/>
    <w:rsid w:val="00217B97"/>
    <w:rsid w:val="00220A14"/>
    <w:rsid w:val="00220EE8"/>
    <w:rsid w:val="00222261"/>
    <w:rsid w:val="00222B52"/>
    <w:rsid w:val="00223490"/>
    <w:rsid w:val="00223B10"/>
    <w:rsid w:val="002243B5"/>
    <w:rsid w:val="00225DDD"/>
    <w:rsid w:val="002262F5"/>
    <w:rsid w:val="00227E50"/>
    <w:rsid w:val="002300C4"/>
    <w:rsid w:val="0023057C"/>
    <w:rsid w:val="0023095A"/>
    <w:rsid w:val="002320C9"/>
    <w:rsid w:val="00232544"/>
    <w:rsid w:val="0023287D"/>
    <w:rsid w:val="002346A5"/>
    <w:rsid w:val="002353D5"/>
    <w:rsid w:val="00235CDA"/>
    <w:rsid w:val="00236505"/>
    <w:rsid w:val="00236CF7"/>
    <w:rsid w:val="00237D10"/>
    <w:rsid w:val="002408DB"/>
    <w:rsid w:val="00240B3E"/>
    <w:rsid w:val="00240F45"/>
    <w:rsid w:val="00243264"/>
    <w:rsid w:val="00243A83"/>
    <w:rsid w:val="0024497E"/>
    <w:rsid w:val="00246296"/>
    <w:rsid w:val="00247DBD"/>
    <w:rsid w:val="00250CE0"/>
    <w:rsid w:val="002510FB"/>
    <w:rsid w:val="0025214F"/>
    <w:rsid w:val="00252307"/>
    <w:rsid w:val="0025231B"/>
    <w:rsid w:val="00254B2E"/>
    <w:rsid w:val="00254BA2"/>
    <w:rsid w:val="002568DC"/>
    <w:rsid w:val="00256AB2"/>
    <w:rsid w:val="00256D5F"/>
    <w:rsid w:val="002572ED"/>
    <w:rsid w:val="00257558"/>
    <w:rsid w:val="0025757F"/>
    <w:rsid w:val="00257B8C"/>
    <w:rsid w:val="002601ED"/>
    <w:rsid w:val="00260778"/>
    <w:rsid w:val="0026186B"/>
    <w:rsid w:val="00262587"/>
    <w:rsid w:val="00262C76"/>
    <w:rsid w:val="00262E55"/>
    <w:rsid w:val="00262F66"/>
    <w:rsid w:val="00264207"/>
    <w:rsid w:val="0026564D"/>
    <w:rsid w:val="00267AC7"/>
    <w:rsid w:val="002728C7"/>
    <w:rsid w:val="00273196"/>
    <w:rsid w:val="00274F31"/>
    <w:rsid w:val="00275BA8"/>
    <w:rsid w:val="00275DC8"/>
    <w:rsid w:val="0028010A"/>
    <w:rsid w:val="002804C2"/>
    <w:rsid w:val="002807EF"/>
    <w:rsid w:val="0028118E"/>
    <w:rsid w:val="002815E3"/>
    <w:rsid w:val="00282651"/>
    <w:rsid w:val="002843F7"/>
    <w:rsid w:val="0028498C"/>
    <w:rsid w:val="00284CAA"/>
    <w:rsid w:val="002855D2"/>
    <w:rsid w:val="00285909"/>
    <w:rsid w:val="00286AAF"/>
    <w:rsid w:val="002873D5"/>
    <w:rsid w:val="00290B16"/>
    <w:rsid w:val="00291140"/>
    <w:rsid w:val="00291B0E"/>
    <w:rsid w:val="00291BDE"/>
    <w:rsid w:val="00291D2F"/>
    <w:rsid w:val="002938F4"/>
    <w:rsid w:val="00293BEA"/>
    <w:rsid w:val="002974BD"/>
    <w:rsid w:val="00297DC0"/>
    <w:rsid w:val="002A083E"/>
    <w:rsid w:val="002A0B84"/>
    <w:rsid w:val="002A1651"/>
    <w:rsid w:val="002A25C1"/>
    <w:rsid w:val="002A2683"/>
    <w:rsid w:val="002A2874"/>
    <w:rsid w:val="002A2FB5"/>
    <w:rsid w:val="002A30CD"/>
    <w:rsid w:val="002A3E6E"/>
    <w:rsid w:val="002A6F04"/>
    <w:rsid w:val="002A70DB"/>
    <w:rsid w:val="002A72CD"/>
    <w:rsid w:val="002A7578"/>
    <w:rsid w:val="002A75AE"/>
    <w:rsid w:val="002A7A7B"/>
    <w:rsid w:val="002A7F34"/>
    <w:rsid w:val="002B0025"/>
    <w:rsid w:val="002B0A86"/>
    <w:rsid w:val="002B319E"/>
    <w:rsid w:val="002B3FF1"/>
    <w:rsid w:val="002B53A9"/>
    <w:rsid w:val="002B646D"/>
    <w:rsid w:val="002B6D10"/>
    <w:rsid w:val="002B7F45"/>
    <w:rsid w:val="002C00E0"/>
    <w:rsid w:val="002C0290"/>
    <w:rsid w:val="002C0452"/>
    <w:rsid w:val="002C19FD"/>
    <w:rsid w:val="002C2156"/>
    <w:rsid w:val="002C27E7"/>
    <w:rsid w:val="002C528E"/>
    <w:rsid w:val="002C5F42"/>
    <w:rsid w:val="002C6FBE"/>
    <w:rsid w:val="002D21BB"/>
    <w:rsid w:val="002D2D91"/>
    <w:rsid w:val="002D4266"/>
    <w:rsid w:val="002D4382"/>
    <w:rsid w:val="002D5DCD"/>
    <w:rsid w:val="002D70AD"/>
    <w:rsid w:val="002D741D"/>
    <w:rsid w:val="002D742D"/>
    <w:rsid w:val="002E200F"/>
    <w:rsid w:val="002E29A8"/>
    <w:rsid w:val="002E3EF5"/>
    <w:rsid w:val="002E52DA"/>
    <w:rsid w:val="002E5312"/>
    <w:rsid w:val="002E5D32"/>
    <w:rsid w:val="002E627B"/>
    <w:rsid w:val="002E6F6E"/>
    <w:rsid w:val="002E7185"/>
    <w:rsid w:val="002F0664"/>
    <w:rsid w:val="002F0CEA"/>
    <w:rsid w:val="002F37A1"/>
    <w:rsid w:val="002F580B"/>
    <w:rsid w:val="002F5B6B"/>
    <w:rsid w:val="002F7E95"/>
    <w:rsid w:val="0030074E"/>
    <w:rsid w:val="003009E0"/>
    <w:rsid w:val="00301833"/>
    <w:rsid w:val="00302137"/>
    <w:rsid w:val="003026DA"/>
    <w:rsid w:val="003033B8"/>
    <w:rsid w:val="00303A98"/>
    <w:rsid w:val="00304730"/>
    <w:rsid w:val="00305DBD"/>
    <w:rsid w:val="00305E85"/>
    <w:rsid w:val="0030660E"/>
    <w:rsid w:val="00306D0D"/>
    <w:rsid w:val="003071A3"/>
    <w:rsid w:val="003074B3"/>
    <w:rsid w:val="0031181E"/>
    <w:rsid w:val="00311EAF"/>
    <w:rsid w:val="003155C0"/>
    <w:rsid w:val="00317604"/>
    <w:rsid w:val="0031776C"/>
    <w:rsid w:val="0032243D"/>
    <w:rsid w:val="00324B27"/>
    <w:rsid w:val="00325159"/>
    <w:rsid w:val="00325B1A"/>
    <w:rsid w:val="0032613D"/>
    <w:rsid w:val="003269A2"/>
    <w:rsid w:val="00327156"/>
    <w:rsid w:val="003272CB"/>
    <w:rsid w:val="003302E7"/>
    <w:rsid w:val="00330AA1"/>
    <w:rsid w:val="00330B2A"/>
    <w:rsid w:val="00330E41"/>
    <w:rsid w:val="0033143A"/>
    <w:rsid w:val="003323A2"/>
    <w:rsid w:val="00332ED6"/>
    <w:rsid w:val="00333AF5"/>
    <w:rsid w:val="00333D3B"/>
    <w:rsid w:val="003349D8"/>
    <w:rsid w:val="00334D1E"/>
    <w:rsid w:val="003405BD"/>
    <w:rsid w:val="0034161B"/>
    <w:rsid w:val="00341754"/>
    <w:rsid w:val="00342849"/>
    <w:rsid w:val="00343DE3"/>
    <w:rsid w:val="00344711"/>
    <w:rsid w:val="0034475F"/>
    <w:rsid w:val="003464E8"/>
    <w:rsid w:val="00350C49"/>
    <w:rsid w:val="00352150"/>
    <w:rsid w:val="003535C9"/>
    <w:rsid w:val="00354F1F"/>
    <w:rsid w:val="00355B9E"/>
    <w:rsid w:val="003566FE"/>
    <w:rsid w:val="003615F1"/>
    <w:rsid w:val="0036208D"/>
    <w:rsid w:val="00362467"/>
    <w:rsid w:val="00362DCF"/>
    <w:rsid w:val="0036319E"/>
    <w:rsid w:val="003636A5"/>
    <w:rsid w:val="0036495B"/>
    <w:rsid w:val="003659FF"/>
    <w:rsid w:val="00365AE7"/>
    <w:rsid w:val="003667D1"/>
    <w:rsid w:val="00367B60"/>
    <w:rsid w:val="003704CF"/>
    <w:rsid w:val="003718CB"/>
    <w:rsid w:val="00371F30"/>
    <w:rsid w:val="00372C74"/>
    <w:rsid w:val="00373C57"/>
    <w:rsid w:val="003749AF"/>
    <w:rsid w:val="003749CD"/>
    <w:rsid w:val="00374F4A"/>
    <w:rsid w:val="00376A3B"/>
    <w:rsid w:val="00376AAC"/>
    <w:rsid w:val="0037718E"/>
    <w:rsid w:val="00380BF0"/>
    <w:rsid w:val="00382479"/>
    <w:rsid w:val="003830B3"/>
    <w:rsid w:val="00384E4C"/>
    <w:rsid w:val="00385395"/>
    <w:rsid w:val="00386402"/>
    <w:rsid w:val="00386503"/>
    <w:rsid w:val="00390871"/>
    <w:rsid w:val="00390974"/>
    <w:rsid w:val="00390A29"/>
    <w:rsid w:val="00390C60"/>
    <w:rsid w:val="00391097"/>
    <w:rsid w:val="00392114"/>
    <w:rsid w:val="00392814"/>
    <w:rsid w:val="0039329C"/>
    <w:rsid w:val="0039339E"/>
    <w:rsid w:val="0039482F"/>
    <w:rsid w:val="00394AB4"/>
    <w:rsid w:val="00396A5E"/>
    <w:rsid w:val="003976D6"/>
    <w:rsid w:val="00397A52"/>
    <w:rsid w:val="003A0175"/>
    <w:rsid w:val="003A183D"/>
    <w:rsid w:val="003A19B5"/>
    <w:rsid w:val="003A1D85"/>
    <w:rsid w:val="003A33B8"/>
    <w:rsid w:val="003A4903"/>
    <w:rsid w:val="003A4F30"/>
    <w:rsid w:val="003A512F"/>
    <w:rsid w:val="003A5E3E"/>
    <w:rsid w:val="003A685D"/>
    <w:rsid w:val="003B002E"/>
    <w:rsid w:val="003B173A"/>
    <w:rsid w:val="003B1CAA"/>
    <w:rsid w:val="003B22D0"/>
    <w:rsid w:val="003B2313"/>
    <w:rsid w:val="003B2E31"/>
    <w:rsid w:val="003B46CF"/>
    <w:rsid w:val="003B5B7A"/>
    <w:rsid w:val="003B6A2A"/>
    <w:rsid w:val="003B71ED"/>
    <w:rsid w:val="003C0547"/>
    <w:rsid w:val="003C08AC"/>
    <w:rsid w:val="003C22C5"/>
    <w:rsid w:val="003C2BD4"/>
    <w:rsid w:val="003C4529"/>
    <w:rsid w:val="003C6838"/>
    <w:rsid w:val="003C6FE7"/>
    <w:rsid w:val="003C735D"/>
    <w:rsid w:val="003C7DB7"/>
    <w:rsid w:val="003D017F"/>
    <w:rsid w:val="003D0187"/>
    <w:rsid w:val="003D066D"/>
    <w:rsid w:val="003D1D90"/>
    <w:rsid w:val="003D27C6"/>
    <w:rsid w:val="003D2DD4"/>
    <w:rsid w:val="003D5112"/>
    <w:rsid w:val="003D5FD8"/>
    <w:rsid w:val="003D616C"/>
    <w:rsid w:val="003E0DF6"/>
    <w:rsid w:val="003E1BC1"/>
    <w:rsid w:val="003E21A5"/>
    <w:rsid w:val="003E2512"/>
    <w:rsid w:val="003E39FE"/>
    <w:rsid w:val="003E3FD4"/>
    <w:rsid w:val="003E5789"/>
    <w:rsid w:val="003E6395"/>
    <w:rsid w:val="003E67F5"/>
    <w:rsid w:val="003E7C56"/>
    <w:rsid w:val="003F04AC"/>
    <w:rsid w:val="003F1023"/>
    <w:rsid w:val="003F159E"/>
    <w:rsid w:val="003F19B6"/>
    <w:rsid w:val="003F3005"/>
    <w:rsid w:val="003F3500"/>
    <w:rsid w:val="003F3B85"/>
    <w:rsid w:val="003F44E2"/>
    <w:rsid w:val="003F4512"/>
    <w:rsid w:val="003F4E68"/>
    <w:rsid w:val="003F4EF3"/>
    <w:rsid w:val="003F4F3E"/>
    <w:rsid w:val="003F541B"/>
    <w:rsid w:val="003F5D91"/>
    <w:rsid w:val="003F5E6A"/>
    <w:rsid w:val="00400710"/>
    <w:rsid w:val="004009CC"/>
    <w:rsid w:val="00400A5D"/>
    <w:rsid w:val="00400C06"/>
    <w:rsid w:val="004012CB"/>
    <w:rsid w:val="0040262B"/>
    <w:rsid w:val="00402E45"/>
    <w:rsid w:val="00404D25"/>
    <w:rsid w:val="00405F37"/>
    <w:rsid w:val="00406353"/>
    <w:rsid w:val="00407085"/>
    <w:rsid w:val="0041153A"/>
    <w:rsid w:val="00411E25"/>
    <w:rsid w:val="004123F9"/>
    <w:rsid w:val="004126BC"/>
    <w:rsid w:val="0041472A"/>
    <w:rsid w:val="0041610B"/>
    <w:rsid w:val="00416BB6"/>
    <w:rsid w:val="00416CF8"/>
    <w:rsid w:val="00420B4D"/>
    <w:rsid w:val="00421389"/>
    <w:rsid w:val="0042151E"/>
    <w:rsid w:val="00421AF2"/>
    <w:rsid w:val="00422524"/>
    <w:rsid w:val="00422CCA"/>
    <w:rsid w:val="00422D85"/>
    <w:rsid w:val="00423248"/>
    <w:rsid w:val="0042340C"/>
    <w:rsid w:val="0042342C"/>
    <w:rsid w:val="004234DA"/>
    <w:rsid w:val="0042384B"/>
    <w:rsid w:val="004260D2"/>
    <w:rsid w:val="004263C6"/>
    <w:rsid w:val="004265C8"/>
    <w:rsid w:val="00430473"/>
    <w:rsid w:val="00432A37"/>
    <w:rsid w:val="0043386C"/>
    <w:rsid w:val="0043551E"/>
    <w:rsid w:val="00436FB2"/>
    <w:rsid w:val="00437782"/>
    <w:rsid w:val="00437BCC"/>
    <w:rsid w:val="004403EC"/>
    <w:rsid w:val="004406CB"/>
    <w:rsid w:val="00441EFB"/>
    <w:rsid w:val="00442023"/>
    <w:rsid w:val="00443B12"/>
    <w:rsid w:val="00444A69"/>
    <w:rsid w:val="00444CBC"/>
    <w:rsid w:val="00445634"/>
    <w:rsid w:val="00446257"/>
    <w:rsid w:val="00446815"/>
    <w:rsid w:val="0044736D"/>
    <w:rsid w:val="00447611"/>
    <w:rsid w:val="00451482"/>
    <w:rsid w:val="00451D7E"/>
    <w:rsid w:val="0045222D"/>
    <w:rsid w:val="00455991"/>
    <w:rsid w:val="0045652A"/>
    <w:rsid w:val="00457AFD"/>
    <w:rsid w:val="00457D64"/>
    <w:rsid w:val="004602F5"/>
    <w:rsid w:val="00460415"/>
    <w:rsid w:val="0046044A"/>
    <w:rsid w:val="00461739"/>
    <w:rsid w:val="00461F4C"/>
    <w:rsid w:val="004627D8"/>
    <w:rsid w:val="00463CBA"/>
    <w:rsid w:val="00466E3B"/>
    <w:rsid w:val="00471E9E"/>
    <w:rsid w:val="00473F3B"/>
    <w:rsid w:val="0047414D"/>
    <w:rsid w:val="0047558B"/>
    <w:rsid w:val="00476AA1"/>
    <w:rsid w:val="00481C97"/>
    <w:rsid w:val="0048249D"/>
    <w:rsid w:val="00483A48"/>
    <w:rsid w:val="00483ED7"/>
    <w:rsid w:val="00485599"/>
    <w:rsid w:val="0048578A"/>
    <w:rsid w:val="004901D1"/>
    <w:rsid w:val="004902E3"/>
    <w:rsid w:val="00490C05"/>
    <w:rsid w:val="00490F1F"/>
    <w:rsid w:val="0049108A"/>
    <w:rsid w:val="00491299"/>
    <w:rsid w:val="004918D7"/>
    <w:rsid w:val="004935E6"/>
    <w:rsid w:val="004938AC"/>
    <w:rsid w:val="00497A99"/>
    <w:rsid w:val="004A013D"/>
    <w:rsid w:val="004A1686"/>
    <w:rsid w:val="004A55B6"/>
    <w:rsid w:val="004A677B"/>
    <w:rsid w:val="004A68F3"/>
    <w:rsid w:val="004A6950"/>
    <w:rsid w:val="004A6C9B"/>
    <w:rsid w:val="004A6CE0"/>
    <w:rsid w:val="004A6D2E"/>
    <w:rsid w:val="004B069E"/>
    <w:rsid w:val="004B146A"/>
    <w:rsid w:val="004B1BD6"/>
    <w:rsid w:val="004B349B"/>
    <w:rsid w:val="004B3D7A"/>
    <w:rsid w:val="004B47CE"/>
    <w:rsid w:val="004B57AC"/>
    <w:rsid w:val="004B5FDD"/>
    <w:rsid w:val="004B6CA3"/>
    <w:rsid w:val="004C0847"/>
    <w:rsid w:val="004C0870"/>
    <w:rsid w:val="004C0921"/>
    <w:rsid w:val="004C0D2C"/>
    <w:rsid w:val="004C12D6"/>
    <w:rsid w:val="004C20C6"/>
    <w:rsid w:val="004C27C4"/>
    <w:rsid w:val="004C2A87"/>
    <w:rsid w:val="004C2CE9"/>
    <w:rsid w:val="004C446D"/>
    <w:rsid w:val="004C64C3"/>
    <w:rsid w:val="004C7553"/>
    <w:rsid w:val="004C7C54"/>
    <w:rsid w:val="004D01C4"/>
    <w:rsid w:val="004D12F5"/>
    <w:rsid w:val="004D2093"/>
    <w:rsid w:val="004D213E"/>
    <w:rsid w:val="004D4639"/>
    <w:rsid w:val="004E173E"/>
    <w:rsid w:val="004E2780"/>
    <w:rsid w:val="004E2C70"/>
    <w:rsid w:val="004E3359"/>
    <w:rsid w:val="004E385E"/>
    <w:rsid w:val="004E38FE"/>
    <w:rsid w:val="004E3C69"/>
    <w:rsid w:val="004E5072"/>
    <w:rsid w:val="004E5EB7"/>
    <w:rsid w:val="004E5F87"/>
    <w:rsid w:val="004E65BA"/>
    <w:rsid w:val="004E7A6C"/>
    <w:rsid w:val="004F01AC"/>
    <w:rsid w:val="004F0739"/>
    <w:rsid w:val="004F2362"/>
    <w:rsid w:val="004F2473"/>
    <w:rsid w:val="004F2D70"/>
    <w:rsid w:val="004F2E4B"/>
    <w:rsid w:val="004F382A"/>
    <w:rsid w:val="004F3B07"/>
    <w:rsid w:val="004F3DC2"/>
    <w:rsid w:val="004F5B1D"/>
    <w:rsid w:val="004F5D86"/>
    <w:rsid w:val="004F6130"/>
    <w:rsid w:val="004F6D4B"/>
    <w:rsid w:val="005007BE"/>
    <w:rsid w:val="00501435"/>
    <w:rsid w:val="00501CB8"/>
    <w:rsid w:val="00503003"/>
    <w:rsid w:val="00503210"/>
    <w:rsid w:val="005036DE"/>
    <w:rsid w:val="00504818"/>
    <w:rsid w:val="00504ACE"/>
    <w:rsid w:val="00505005"/>
    <w:rsid w:val="00505755"/>
    <w:rsid w:val="00505BE0"/>
    <w:rsid w:val="00506C2F"/>
    <w:rsid w:val="00511897"/>
    <w:rsid w:val="00511927"/>
    <w:rsid w:val="0051265E"/>
    <w:rsid w:val="00512D19"/>
    <w:rsid w:val="00515BC5"/>
    <w:rsid w:val="00517333"/>
    <w:rsid w:val="0051763A"/>
    <w:rsid w:val="00520546"/>
    <w:rsid w:val="00520C1A"/>
    <w:rsid w:val="0052171C"/>
    <w:rsid w:val="005222D0"/>
    <w:rsid w:val="0052355B"/>
    <w:rsid w:val="00524A2A"/>
    <w:rsid w:val="0052560F"/>
    <w:rsid w:val="00525F25"/>
    <w:rsid w:val="005265A1"/>
    <w:rsid w:val="0052723A"/>
    <w:rsid w:val="005273A5"/>
    <w:rsid w:val="00527E54"/>
    <w:rsid w:val="00530F8E"/>
    <w:rsid w:val="005311F1"/>
    <w:rsid w:val="00531513"/>
    <w:rsid w:val="00531693"/>
    <w:rsid w:val="00532EBF"/>
    <w:rsid w:val="0053407C"/>
    <w:rsid w:val="005342ED"/>
    <w:rsid w:val="00535F0C"/>
    <w:rsid w:val="00537421"/>
    <w:rsid w:val="005401BF"/>
    <w:rsid w:val="00540245"/>
    <w:rsid w:val="00540C6E"/>
    <w:rsid w:val="00544535"/>
    <w:rsid w:val="005449F5"/>
    <w:rsid w:val="00550117"/>
    <w:rsid w:val="00550967"/>
    <w:rsid w:val="00550C54"/>
    <w:rsid w:val="00552197"/>
    <w:rsid w:val="005537E8"/>
    <w:rsid w:val="00553B3F"/>
    <w:rsid w:val="00553E7D"/>
    <w:rsid w:val="00554B8F"/>
    <w:rsid w:val="00556CB3"/>
    <w:rsid w:val="005603D7"/>
    <w:rsid w:val="0056059B"/>
    <w:rsid w:val="00562410"/>
    <w:rsid w:val="00562870"/>
    <w:rsid w:val="005641F2"/>
    <w:rsid w:val="0056445C"/>
    <w:rsid w:val="005646A3"/>
    <w:rsid w:val="00565B88"/>
    <w:rsid w:val="00565FBC"/>
    <w:rsid w:val="00567C74"/>
    <w:rsid w:val="005711F7"/>
    <w:rsid w:val="00571BAA"/>
    <w:rsid w:val="00571FAD"/>
    <w:rsid w:val="00572253"/>
    <w:rsid w:val="0057237C"/>
    <w:rsid w:val="005728E0"/>
    <w:rsid w:val="005731EB"/>
    <w:rsid w:val="00573625"/>
    <w:rsid w:val="00573F2A"/>
    <w:rsid w:val="00574504"/>
    <w:rsid w:val="00574C16"/>
    <w:rsid w:val="005750FB"/>
    <w:rsid w:val="005753EF"/>
    <w:rsid w:val="00575981"/>
    <w:rsid w:val="00576A61"/>
    <w:rsid w:val="00577337"/>
    <w:rsid w:val="00577B0E"/>
    <w:rsid w:val="005803B8"/>
    <w:rsid w:val="00580D64"/>
    <w:rsid w:val="00581653"/>
    <w:rsid w:val="00582AEF"/>
    <w:rsid w:val="00582F58"/>
    <w:rsid w:val="00583643"/>
    <w:rsid w:val="00583BA0"/>
    <w:rsid w:val="00583F18"/>
    <w:rsid w:val="005849C6"/>
    <w:rsid w:val="0058562C"/>
    <w:rsid w:val="00587831"/>
    <w:rsid w:val="00591A46"/>
    <w:rsid w:val="005922CC"/>
    <w:rsid w:val="005939B6"/>
    <w:rsid w:val="00593B5D"/>
    <w:rsid w:val="005947CC"/>
    <w:rsid w:val="005961E4"/>
    <w:rsid w:val="005966DD"/>
    <w:rsid w:val="0059713A"/>
    <w:rsid w:val="005972C3"/>
    <w:rsid w:val="005A2B5F"/>
    <w:rsid w:val="005A37CF"/>
    <w:rsid w:val="005A40CD"/>
    <w:rsid w:val="005A41BA"/>
    <w:rsid w:val="005A45C3"/>
    <w:rsid w:val="005A53BD"/>
    <w:rsid w:val="005A5C4B"/>
    <w:rsid w:val="005A76BF"/>
    <w:rsid w:val="005A788A"/>
    <w:rsid w:val="005A7B30"/>
    <w:rsid w:val="005B04C8"/>
    <w:rsid w:val="005B0587"/>
    <w:rsid w:val="005B09B5"/>
    <w:rsid w:val="005B192D"/>
    <w:rsid w:val="005B1976"/>
    <w:rsid w:val="005B229D"/>
    <w:rsid w:val="005B286E"/>
    <w:rsid w:val="005B2D60"/>
    <w:rsid w:val="005B35CA"/>
    <w:rsid w:val="005B3A79"/>
    <w:rsid w:val="005B3B3F"/>
    <w:rsid w:val="005B7593"/>
    <w:rsid w:val="005C0270"/>
    <w:rsid w:val="005C258A"/>
    <w:rsid w:val="005C2F19"/>
    <w:rsid w:val="005C4435"/>
    <w:rsid w:val="005C6D9F"/>
    <w:rsid w:val="005C717E"/>
    <w:rsid w:val="005C71D4"/>
    <w:rsid w:val="005C76CE"/>
    <w:rsid w:val="005D0258"/>
    <w:rsid w:val="005D095A"/>
    <w:rsid w:val="005D0B66"/>
    <w:rsid w:val="005D1547"/>
    <w:rsid w:val="005D1E4B"/>
    <w:rsid w:val="005D2010"/>
    <w:rsid w:val="005D2A92"/>
    <w:rsid w:val="005D2C21"/>
    <w:rsid w:val="005D300B"/>
    <w:rsid w:val="005D36B2"/>
    <w:rsid w:val="005D37B3"/>
    <w:rsid w:val="005D3A74"/>
    <w:rsid w:val="005D3EEC"/>
    <w:rsid w:val="005D48D3"/>
    <w:rsid w:val="005D5C3D"/>
    <w:rsid w:val="005D7D7A"/>
    <w:rsid w:val="005E0382"/>
    <w:rsid w:val="005E04D6"/>
    <w:rsid w:val="005E44FF"/>
    <w:rsid w:val="005E4AAE"/>
    <w:rsid w:val="005E4CAB"/>
    <w:rsid w:val="005E4EB5"/>
    <w:rsid w:val="005E50F3"/>
    <w:rsid w:val="005E5D49"/>
    <w:rsid w:val="005E5E93"/>
    <w:rsid w:val="005E6334"/>
    <w:rsid w:val="005E7990"/>
    <w:rsid w:val="005E7E51"/>
    <w:rsid w:val="005F00E4"/>
    <w:rsid w:val="005F2036"/>
    <w:rsid w:val="005F33C2"/>
    <w:rsid w:val="005F3537"/>
    <w:rsid w:val="005F367E"/>
    <w:rsid w:val="005F3EB5"/>
    <w:rsid w:val="005F3FAE"/>
    <w:rsid w:val="005F43C8"/>
    <w:rsid w:val="005F47CE"/>
    <w:rsid w:val="005F5644"/>
    <w:rsid w:val="005F5664"/>
    <w:rsid w:val="005F6092"/>
    <w:rsid w:val="005F7DC6"/>
    <w:rsid w:val="00602CB7"/>
    <w:rsid w:val="00602E41"/>
    <w:rsid w:val="006037F6"/>
    <w:rsid w:val="006038A9"/>
    <w:rsid w:val="00605058"/>
    <w:rsid w:val="00605EC3"/>
    <w:rsid w:val="0060618D"/>
    <w:rsid w:val="00610416"/>
    <w:rsid w:val="00611F92"/>
    <w:rsid w:val="00612274"/>
    <w:rsid w:val="00614BDB"/>
    <w:rsid w:val="00621A7F"/>
    <w:rsid w:val="006233F3"/>
    <w:rsid w:val="00623AE5"/>
    <w:rsid w:val="00623AF8"/>
    <w:rsid w:val="006247B8"/>
    <w:rsid w:val="00624EB7"/>
    <w:rsid w:val="00625E93"/>
    <w:rsid w:val="00625EE4"/>
    <w:rsid w:val="00626E0C"/>
    <w:rsid w:val="0062716A"/>
    <w:rsid w:val="0062729D"/>
    <w:rsid w:val="0062759C"/>
    <w:rsid w:val="00630744"/>
    <w:rsid w:val="00630996"/>
    <w:rsid w:val="00630FA5"/>
    <w:rsid w:val="00632622"/>
    <w:rsid w:val="00632819"/>
    <w:rsid w:val="0063401B"/>
    <w:rsid w:val="00634A13"/>
    <w:rsid w:val="00635755"/>
    <w:rsid w:val="00637B2F"/>
    <w:rsid w:val="00640168"/>
    <w:rsid w:val="00641AD0"/>
    <w:rsid w:val="006447B9"/>
    <w:rsid w:val="00645843"/>
    <w:rsid w:val="00645DC2"/>
    <w:rsid w:val="00650186"/>
    <w:rsid w:val="006501FE"/>
    <w:rsid w:val="006501FF"/>
    <w:rsid w:val="00650224"/>
    <w:rsid w:val="006504CF"/>
    <w:rsid w:val="006509B1"/>
    <w:rsid w:val="006513CB"/>
    <w:rsid w:val="006515EC"/>
    <w:rsid w:val="00652092"/>
    <w:rsid w:val="006522FE"/>
    <w:rsid w:val="00652BAB"/>
    <w:rsid w:val="00653F82"/>
    <w:rsid w:val="00654C5E"/>
    <w:rsid w:val="00656231"/>
    <w:rsid w:val="00656250"/>
    <w:rsid w:val="00656990"/>
    <w:rsid w:val="00657507"/>
    <w:rsid w:val="00660EF9"/>
    <w:rsid w:val="006615CA"/>
    <w:rsid w:val="00662648"/>
    <w:rsid w:val="0066364A"/>
    <w:rsid w:val="00663DD5"/>
    <w:rsid w:val="00664BBA"/>
    <w:rsid w:val="00665705"/>
    <w:rsid w:val="006665FF"/>
    <w:rsid w:val="00666CAF"/>
    <w:rsid w:val="00670F57"/>
    <w:rsid w:val="0067180C"/>
    <w:rsid w:val="006723CF"/>
    <w:rsid w:val="006739BE"/>
    <w:rsid w:val="00673B1C"/>
    <w:rsid w:val="00674888"/>
    <w:rsid w:val="006749E8"/>
    <w:rsid w:val="00674DAB"/>
    <w:rsid w:val="0067682B"/>
    <w:rsid w:val="00677ACF"/>
    <w:rsid w:val="00680E2F"/>
    <w:rsid w:val="006821F6"/>
    <w:rsid w:val="00682513"/>
    <w:rsid w:val="00682889"/>
    <w:rsid w:val="00682B53"/>
    <w:rsid w:val="00683C2D"/>
    <w:rsid w:val="006854C9"/>
    <w:rsid w:val="00685851"/>
    <w:rsid w:val="00685BD8"/>
    <w:rsid w:val="00686309"/>
    <w:rsid w:val="00690ECF"/>
    <w:rsid w:val="00692980"/>
    <w:rsid w:val="00693DF5"/>
    <w:rsid w:val="00694BE5"/>
    <w:rsid w:val="00695593"/>
    <w:rsid w:val="006956F8"/>
    <w:rsid w:val="00697E14"/>
    <w:rsid w:val="00697F71"/>
    <w:rsid w:val="006A0193"/>
    <w:rsid w:val="006A057C"/>
    <w:rsid w:val="006A2A58"/>
    <w:rsid w:val="006A45FE"/>
    <w:rsid w:val="006A4F47"/>
    <w:rsid w:val="006A4F7E"/>
    <w:rsid w:val="006A5912"/>
    <w:rsid w:val="006A6415"/>
    <w:rsid w:val="006A7114"/>
    <w:rsid w:val="006A716C"/>
    <w:rsid w:val="006A750F"/>
    <w:rsid w:val="006B11DF"/>
    <w:rsid w:val="006B1B3C"/>
    <w:rsid w:val="006B2544"/>
    <w:rsid w:val="006B2666"/>
    <w:rsid w:val="006B34F8"/>
    <w:rsid w:val="006B3C17"/>
    <w:rsid w:val="006B3E7C"/>
    <w:rsid w:val="006B4306"/>
    <w:rsid w:val="006B4922"/>
    <w:rsid w:val="006B4D78"/>
    <w:rsid w:val="006B4FF4"/>
    <w:rsid w:val="006B52B5"/>
    <w:rsid w:val="006B5870"/>
    <w:rsid w:val="006B63A9"/>
    <w:rsid w:val="006B63AE"/>
    <w:rsid w:val="006B6964"/>
    <w:rsid w:val="006B7908"/>
    <w:rsid w:val="006C0064"/>
    <w:rsid w:val="006C082D"/>
    <w:rsid w:val="006C0F73"/>
    <w:rsid w:val="006C0FCE"/>
    <w:rsid w:val="006C1300"/>
    <w:rsid w:val="006C144E"/>
    <w:rsid w:val="006C1708"/>
    <w:rsid w:val="006C1A77"/>
    <w:rsid w:val="006C1AC4"/>
    <w:rsid w:val="006C2702"/>
    <w:rsid w:val="006C2DDC"/>
    <w:rsid w:val="006C39AB"/>
    <w:rsid w:val="006C4577"/>
    <w:rsid w:val="006C539A"/>
    <w:rsid w:val="006C5C31"/>
    <w:rsid w:val="006C5DF2"/>
    <w:rsid w:val="006C5E62"/>
    <w:rsid w:val="006C65F5"/>
    <w:rsid w:val="006C6B1F"/>
    <w:rsid w:val="006C7144"/>
    <w:rsid w:val="006C7EE4"/>
    <w:rsid w:val="006C7F2F"/>
    <w:rsid w:val="006D01F9"/>
    <w:rsid w:val="006D3F61"/>
    <w:rsid w:val="006D43FF"/>
    <w:rsid w:val="006D4CF1"/>
    <w:rsid w:val="006D55AB"/>
    <w:rsid w:val="006D567B"/>
    <w:rsid w:val="006D5F8B"/>
    <w:rsid w:val="006D60B6"/>
    <w:rsid w:val="006D6100"/>
    <w:rsid w:val="006D78F5"/>
    <w:rsid w:val="006E0144"/>
    <w:rsid w:val="006E0335"/>
    <w:rsid w:val="006E0DC8"/>
    <w:rsid w:val="006E2064"/>
    <w:rsid w:val="006E4692"/>
    <w:rsid w:val="006E46A9"/>
    <w:rsid w:val="006E63CE"/>
    <w:rsid w:val="006E7650"/>
    <w:rsid w:val="006E7A3A"/>
    <w:rsid w:val="006E7C64"/>
    <w:rsid w:val="006F178E"/>
    <w:rsid w:val="006F1BBF"/>
    <w:rsid w:val="006F1CB3"/>
    <w:rsid w:val="006F21B9"/>
    <w:rsid w:val="006F4E42"/>
    <w:rsid w:val="006F546D"/>
    <w:rsid w:val="007026BB"/>
    <w:rsid w:val="00703471"/>
    <w:rsid w:val="00703BA1"/>
    <w:rsid w:val="00703EA5"/>
    <w:rsid w:val="0070405D"/>
    <w:rsid w:val="00704C7B"/>
    <w:rsid w:val="00705609"/>
    <w:rsid w:val="00706043"/>
    <w:rsid w:val="00706046"/>
    <w:rsid w:val="00706365"/>
    <w:rsid w:val="007065C7"/>
    <w:rsid w:val="00707644"/>
    <w:rsid w:val="007076C1"/>
    <w:rsid w:val="0070782E"/>
    <w:rsid w:val="007107E5"/>
    <w:rsid w:val="007120A5"/>
    <w:rsid w:val="00713843"/>
    <w:rsid w:val="007138A8"/>
    <w:rsid w:val="007141DE"/>
    <w:rsid w:val="007144DE"/>
    <w:rsid w:val="007159EC"/>
    <w:rsid w:val="00715F1E"/>
    <w:rsid w:val="00715F4A"/>
    <w:rsid w:val="007161BC"/>
    <w:rsid w:val="00716393"/>
    <w:rsid w:val="007165DD"/>
    <w:rsid w:val="007169E2"/>
    <w:rsid w:val="00716F3C"/>
    <w:rsid w:val="0071758B"/>
    <w:rsid w:val="00720963"/>
    <w:rsid w:val="00720F09"/>
    <w:rsid w:val="007225BB"/>
    <w:rsid w:val="00722608"/>
    <w:rsid w:val="00724C54"/>
    <w:rsid w:val="00724E7D"/>
    <w:rsid w:val="00725688"/>
    <w:rsid w:val="0072643D"/>
    <w:rsid w:val="00727733"/>
    <w:rsid w:val="007277D3"/>
    <w:rsid w:val="0073114A"/>
    <w:rsid w:val="007311AB"/>
    <w:rsid w:val="00731CEB"/>
    <w:rsid w:val="00732FFC"/>
    <w:rsid w:val="0073311E"/>
    <w:rsid w:val="00733E31"/>
    <w:rsid w:val="00734160"/>
    <w:rsid w:val="00734457"/>
    <w:rsid w:val="007348A5"/>
    <w:rsid w:val="007348B8"/>
    <w:rsid w:val="007356ED"/>
    <w:rsid w:val="00736165"/>
    <w:rsid w:val="007362AB"/>
    <w:rsid w:val="00736C9F"/>
    <w:rsid w:val="00737A44"/>
    <w:rsid w:val="00737A97"/>
    <w:rsid w:val="007409A9"/>
    <w:rsid w:val="0074199B"/>
    <w:rsid w:val="0074300E"/>
    <w:rsid w:val="00743453"/>
    <w:rsid w:val="007438C8"/>
    <w:rsid w:val="00743C12"/>
    <w:rsid w:val="00744E52"/>
    <w:rsid w:val="00744F54"/>
    <w:rsid w:val="00745308"/>
    <w:rsid w:val="00745F2A"/>
    <w:rsid w:val="007466FD"/>
    <w:rsid w:val="00746F92"/>
    <w:rsid w:val="0074753F"/>
    <w:rsid w:val="0074754F"/>
    <w:rsid w:val="007475DD"/>
    <w:rsid w:val="0075075A"/>
    <w:rsid w:val="00750D3F"/>
    <w:rsid w:val="00756B0C"/>
    <w:rsid w:val="0075791B"/>
    <w:rsid w:val="007609FA"/>
    <w:rsid w:val="007625E6"/>
    <w:rsid w:val="007628B1"/>
    <w:rsid w:val="00765C07"/>
    <w:rsid w:val="00765E53"/>
    <w:rsid w:val="00766A1E"/>
    <w:rsid w:val="0076753C"/>
    <w:rsid w:val="00770371"/>
    <w:rsid w:val="0077196C"/>
    <w:rsid w:val="007721F9"/>
    <w:rsid w:val="00772390"/>
    <w:rsid w:val="00772DF5"/>
    <w:rsid w:val="007749CD"/>
    <w:rsid w:val="0077500F"/>
    <w:rsid w:val="00775137"/>
    <w:rsid w:val="007754A9"/>
    <w:rsid w:val="00776281"/>
    <w:rsid w:val="007764F2"/>
    <w:rsid w:val="00776649"/>
    <w:rsid w:val="00776F6E"/>
    <w:rsid w:val="00777670"/>
    <w:rsid w:val="007776F0"/>
    <w:rsid w:val="007778B7"/>
    <w:rsid w:val="00781FC9"/>
    <w:rsid w:val="00782EF9"/>
    <w:rsid w:val="007833B7"/>
    <w:rsid w:val="0078389C"/>
    <w:rsid w:val="00783C13"/>
    <w:rsid w:val="00783D7D"/>
    <w:rsid w:val="00784A65"/>
    <w:rsid w:val="00791EEE"/>
    <w:rsid w:val="0079409A"/>
    <w:rsid w:val="007943B5"/>
    <w:rsid w:val="00796335"/>
    <w:rsid w:val="0079636D"/>
    <w:rsid w:val="00797019"/>
    <w:rsid w:val="007971E3"/>
    <w:rsid w:val="00797B4E"/>
    <w:rsid w:val="00797BE1"/>
    <w:rsid w:val="00797E32"/>
    <w:rsid w:val="007A097D"/>
    <w:rsid w:val="007A1C8E"/>
    <w:rsid w:val="007A2259"/>
    <w:rsid w:val="007A41C8"/>
    <w:rsid w:val="007A4248"/>
    <w:rsid w:val="007A4874"/>
    <w:rsid w:val="007A4FAB"/>
    <w:rsid w:val="007A59D5"/>
    <w:rsid w:val="007A61BD"/>
    <w:rsid w:val="007A673D"/>
    <w:rsid w:val="007A7A6F"/>
    <w:rsid w:val="007A7EA6"/>
    <w:rsid w:val="007B001F"/>
    <w:rsid w:val="007B014D"/>
    <w:rsid w:val="007B15B6"/>
    <w:rsid w:val="007B1AE5"/>
    <w:rsid w:val="007B34DE"/>
    <w:rsid w:val="007B37D9"/>
    <w:rsid w:val="007B4342"/>
    <w:rsid w:val="007B436B"/>
    <w:rsid w:val="007B43F6"/>
    <w:rsid w:val="007B4C03"/>
    <w:rsid w:val="007B5D81"/>
    <w:rsid w:val="007B7949"/>
    <w:rsid w:val="007B7DD9"/>
    <w:rsid w:val="007C038A"/>
    <w:rsid w:val="007C0C85"/>
    <w:rsid w:val="007C119A"/>
    <w:rsid w:val="007C12B6"/>
    <w:rsid w:val="007C21CA"/>
    <w:rsid w:val="007C3499"/>
    <w:rsid w:val="007C545F"/>
    <w:rsid w:val="007C5A9D"/>
    <w:rsid w:val="007C5D35"/>
    <w:rsid w:val="007C624A"/>
    <w:rsid w:val="007C7449"/>
    <w:rsid w:val="007C7698"/>
    <w:rsid w:val="007C7BA8"/>
    <w:rsid w:val="007D0F6D"/>
    <w:rsid w:val="007D13A2"/>
    <w:rsid w:val="007D1CDE"/>
    <w:rsid w:val="007D28D7"/>
    <w:rsid w:val="007D2951"/>
    <w:rsid w:val="007D324A"/>
    <w:rsid w:val="007D43DC"/>
    <w:rsid w:val="007D4D63"/>
    <w:rsid w:val="007D6DDE"/>
    <w:rsid w:val="007E09C9"/>
    <w:rsid w:val="007E0A9B"/>
    <w:rsid w:val="007E0B5D"/>
    <w:rsid w:val="007E103F"/>
    <w:rsid w:val="007E17E0"/>
    <w:rsid w:val="007E2836"/>
    <w:rsid w:val="007E283B"/>
    <w:rsid w:val="007E2BC2"/>
    <w:rsid w:val="007E34F5"/>
    <w:rsid w:val="007E3ECE"/>
    <w:rsid w:val="007E54F2"/>
    <w:rsid w:val="007E6C7B"/>
    <w:rsid w:val="007E7E57"/>
    <w:rsid w:val="007F0CBD"/>
    <w:rsid w:val="007F3490"/>
    <w:rsid w:val="007F3CBF"/>
    <w:rsid w:val="007F4E3F"/>
    <w:rsid w:val="007F4FAA"/>
    <w:rsid w:val="007F534B"/>
    <w:rsid w:val="007F5E24"/>
    <w:rsid w:val="00800A30"/>
    <w:rsid w:val="008017D4"/>
    <w:rsid w:val="00801D16"/>
    <w:rsid w:val="00802388"/>
    <w:rsid w:val="00803DB0"/>
    <w:rsid w:val="00803F5F"/>
    <w:rsid w:val="0080591E"/>
    <w:rsid w:val="00806B29"/>
    <w:rsid w:val="00807EEE"/>
    <w:rsid w:val="0081018D"/>
    <w:rsid w:val="00810DF0"/>
    <w:rsid w:val="00811301"/>
    <w:rsid w:val="00811FBB"/>
    <w:rsid w:val="00813424"/>
    <w:rsid w:val="008149CF"/>
    <w:rsid w:val="00814A93"/>
    <w:rsid w:val="00814F2C"/>
    <w:rsid w:val="00814F70"/>
    <w:rsid w:val="00815030"/>
    <w:rsid w:val="0081542F"/>
    <w:rsid w:val="00815F3F"/>
    <w:rsid w:val="008160F3"/>
    <w:rsid w:val="008164AE"/>
    <w:rsid w:val="00817195"/>
    <w:rsid w:val="00817262"/>
    <w:rsid w:val="00817696"/>
    <w:rsid w:val="008178DD"/>
    <w:rsid w:val="00817D8E"/>
    <w:rsid w:val="00817DAC"/>
    <w:rsid w:val="008211B2"/>
    <w:rsid w:val="0082144C"/>
    <w:rsid w:val="008218D5"/>
    <w:rsid w:val="008225B4"/>
    <w:rsid w:val="00823784"/>
    <w:rsid w:val="00823D30"/>
    <w:rsid w:val="008248D7"/>
    <w:rsid w:val="00825094"/>
    <w:rsid w:val="00825335"/>
    <w:rsid w:val="00825354"/>
    <w:rsid w:val="0082577C"/>
    <w:rsid w:val="0082664D"/>
    <w:rsid w:val="0082676D"/>
    <w:rsid w:val="008267D3"/>
    <w:rsid w:val="00827FAD"/>
    <w:rsid w:val="0083179B"/>
    <w:rsid w:val="00831A30"/>
    <w:rsid w:val="00832393"/>
    <w:rsid w:val="008328A3"/>
    <w:rsid w:val="008334F7"/>
    <w:rsid w:val="0083350C"/>
    <w:rsid w:val="00833E5E"/>
    <w:rsid w:val="00835AA4"/>
    <w:rsid w:val="00835C92"/>
    <w:rsid w:val="00836B70"/>
    <w:rsid w:val="008371A8"/>
    <w:rsid w:val="008373BE"/>
    <w:rsid w:val="00840A5B"/>
    <w:rsid w:val="008417B8"/>
    <w:rsid w:val="00843E73"/>
    <w:rsid w:val="00844A03"/>
    <w:rsid w:val="00845984"/>
    <w:rsid w:val="0084696D"/>
    <w:rsid w:val="00846C10"/>
    <w:rsid w:val="008472F1"/>
    <w:rsid w:val="00847509"/>
    <w:rsid w:val="00851205"/>
    <w:rsid w:val="00852477"/>
    <w:rsid w:val="008537F5"/>
    <w:rsid w:val="0085400C"/>
    <w:rsid w:val="008546A0"/>
    <w:rsid w:val="008548A3"/>
    <w:rsid w:val="00854979"/>
    <w:rsid w:val="0085546B"/>
    <w:rsid w:val="0085606D"/>
    <w:rsid w:val="00860425"/>
    <w:rsid w:val="008611EE"/>
    <w:rsid w:val="0086213C"/>
    <w:rsid w:val="00863BA0"/>
    <w:rsid w:val="00864727"/>
    <w:rsid w:val="00864D86"/>
    <w:rsid w:val="00864EDC"/>
    <w:rsid w:val="00864F47"/>
    <w:rsid w:val="00865142"/>
    <w:rsid w:val="00865D5A"/>
    <w:rsid w:val="00866D44"/>
    <w:rsid w:val="008674C1"/>
    <w:rsid w:val="00867C7A"/>
    <w:rsid w:val="00867DBC"/>
    <w:rsid w:val="00867DCE"/>
    <w:rsid w:val="00867F97"/>
    <w:rsid w:val="00871497"/>
    <w:rsid w:val="00871F46"/>
    <w:rsid w:val="00873399"/>
    <w:rsid w:val="008739CB"/>
    <w:rsid w:val="00875368"/>
    <w:rsid w:val="00875B4F"/>
    <w:rsid w:val="00875D34"/>
    <w:rsid w:val="0087664E"/>
    <w:rsid w:val="00880712"/>
    <w:rsid w:val="00881ADA"/>
    <w:rsid w:val="00881D25"/>
    <w:rsid w:val="00883859"/>
    <w:rsid w:val="00883AA3"/>
    <w:rsid w:val="00883B48"/>
    <w:rsid w:val="0088438A"/>
    <w:rsid w:val="00886306"/>
    <w:rsid w:val="008866E1"/>
    <w:rsid w:val="008919DD"/>
    <w:rsid w:val="00892FD3"/>
    <w:rsid w:val="00893464"/>
    <w:rsid w:val="00893DDB"/>
    <w:rsid w:val="00893E94"/>
    <w:rsid w:val="008955B0"/>
    <w:rsid w:val="0089572E"/>
    <w:rsid w:val="00895898"/>
    <w:rsid w:val="00895F46"/>
    <w:rsid w:val="00896694"/>
    <w:rsid w:val="00897D8C"/>
    <w:rsid w:val="008A1FF8"/>
    <w:rsid w:val="008A4365"/>
    <w:rsid w:val="008B17B4"/>
    <w:rsid w:val="008B20E8"/>
    <w:rsid w:val="008B338D"/>
    <w:rsid w:val="008B3EF3"/>
    <w:rsid w:val="008B46FD"/>
    <w:rsid w:val="008B4747"/>
    <w:rsid w:val="008B498E"/>
    <w:rsid w:val="008C0082"/>
    <w:rsid w:val="008C014A"/>
    <w:rsid w:val="008C0577"/>
    <w:rsid w:val="008C08F1"/>
    <w:rsid w:val="008C37EE"/>
    <w:rsid w:val="008C4F0C"/>
    <w:rsid w:val="008C50F1"/>
    <w:rsid w:val="008C6BFF"/>
    <w:rsid w:val="008C7164"/>
    <w:rsid w:val="008C77CB"/>
    <w:rsid w:val="008D095A"/>
    <w:rsid w:val="008D1D17"/>
    <w:rsid w:val="008D2A34"/>
    <w:rsid w:val="008D2B06"/>
    <w:rsid w:val="008D2D02"/>
    <w:rsid w:val="008D5538"/>
    <w:rsid w:val="008D59A5"/>
    <w:rsid w:val="008D703F"/>
    <w:rsid w:val="008D75F1"/>
    <w:rsid w:val="008E1AB1"/>
    <w:rsid w:val="008E29FF"/>
    <w:rsid w:val="008E2A68"/>
    <w:rsid w:val="008E303D"/>
    <w:rsid w:val="008E3042"/>
    <w:rsid w:val="008E34F9"/>
    <w:rsid w:val="008E3E9A"/>
    <w:rsid w:val="008E41B5"/>
    <w:rsid w:val="008E486F"/>
    <w:rsid w:val="008E52B9"/>
    <w:rsid w:val="008E6272"/>
    <w:rsid w:val="008E6A13"/>
    <w:rsid w:val="008E7866"/>
    <w:rsid w:val="008E794D"/>
    <w:rsid w:val="008E7CBE"/>
    <w:rsid w:val="008F1245"/>
    <w:rsid w:val="008F189A"/>
    <w:rsid w:val="008F19B7"/>
    <w:rsid w:val="008F1DA9"/>
    <w:rsid w:val="008F1E0D"/>
    <w:rsid w:val="008F228D"/>
    <w:rsid w:val="008F29DF"/>
    <w:rsid w:val="008F2D54"/>
    <w:rsid w:val="008F47F4"/>
    <w:rsid w:val="008F613E"/>
    <w:rsid w:val="008F6353"/>
    <w:rsid w:val="008F6AAD"/>
    <w:rsid w:val="008F6CB6"/>
    <w:rsid w:val="008F743E"/>
    <w:rsid w:val="00901597"/>
    <w:rsid w:val="00901BA0"/>
    <w:rsid w:val="00901D47"/>
    <w:rsid w:val="00902487"/>
    <w:rsid w:val="0090329D"/>
    <w:rsid w:val="009032A8"/>
    <w:rsid w:val="00904F24"/>
    <w:rsid w:val="00905D79"/>
    <w:rsid w:val="00906275"/>
    <w:rsid w:val="00906983"/>
    <w:rsid w:val="00906D40"/>
    <w:rsid w:val="00910871"/>
    <w:rsid w:val="009112A4"/>
    <w:rsid w:val="009112DC"/>
    <w:rsid w:val="0091403A"/>
    <w:rsid w:val="00914E19"/>
    <w:rsid w:val="00915164"/>
    <w:rsid w:val="00916429"/>
    <w:rsid w:val="00916735"/>
    <w:rsid w:val="00916994"/>
    <w:rsid w:val="00916ECE"/>
    <w:rsid w:val="0091749A"/>
    <w:rsid w:val="0091750E"/>
    <w:rsid w:val="009176D9"/>
    <w:rsid w:val="009208E4"/>
    <w:rsid w:val="00920E39"/>
    <w:rsid w:val="00921767"/>
    <w:rsid w:val="00921E3A"/>
    <w:rsid w:val="009238BC"/>
    <w:rsid w:val="00926CE0"/>
    <w:rsid w:val="00926FAA"/>
    <w:rsid w:val="00927678"/>
    <w:rsid w:val="00927931"/>
    <w:rsid w:val="00927EC7"/>
    <w:rsid w:val="00931188"/>
    <w:rsid w:val="00932B83"/>
    <w:rsid w:val="009338D5"/>
    <w:rsid w:val="009353DE"/>
    <w:rsid w:val="00935864"/>
    <w:rsid w:val="0093587E"/>
    <w:rsid w:val="00935B64"/>
    <w:rsid w:val="00936091"/>
    <w:rsid w:val="009360CD"/>
    <w:rsid w:val="0093623C"/>
    <w:rsid w:val="00936E50"/>
    <w:rsid w:val="009377BF"/>
    <w:rsid w:val="00937954"/>
    <w:rsid w:val="00937D08"/>
    <w:rsid w:val="0094001C"/>
    <w:rsid w:val="009403F1"/>
    <w:rsid w:val="00941BB0"/>
    <w:rsid w:val="00943EB3"/>
    <w:rsid w:val="0094724A"/>
    <w:rsid w:val="009476EC"/>
    <w:rsid w:val="00950B96"/>
    <w:rsid w:val="00951CFB"/>
    <w:rsid w:val="00951DE6"/>
    <w:rsid w:val="00951F90"/>
    <w:rsid w:val="00953F2C"/>
    <w:rsid w:val="00954307"/>
    <w:rsid w:val="00954546"/>
    <w:rsid w:val="0095492B"/>
    <w:rsid w:val="00954EAB"/>
    <w:rsid w:val="00955B56"/>
    <w:rsid w:val="00956529"/>
    <w:rsid w:val="009568F5"/>
    <w:rsid w:val="00956DF3"/>
    <w:rsid w:val="00957DF6"/>
    <w:rsid w:val="009601CB"/>
    <w:rsid w:val="009615CC"/>
    <w:rsid w:val="00961869"/>
    <w:rsid w:val="0096241D"/>
    <w:rsid w:val="00962896"/>
    <w:rsid w:val="00962A71"/>
    <w:rsid w:val="0096412C"/>
    <w:rsid w:val="00966C8E"/>
    <w:rsid w:val="00967EF0"/>
    <w:rsid w:val="00971038"/>
    <w:rsid w:val="00971C47"/>
    <w:rsid w:val="009728A3"/>
    <w:rsid w:val="009733AE"/>
    <w:rsid w:val="00973F34"/>
    <w:rsid w:val="00974574"/>
    <w:rsid w:val="009753F5"/>
    <w:rsid w:val="009778CF"/>
    <w:rsid w:val="009808B0"/>
    <w:rsid w:val="00981032"/>
    <w:rsid w:val="0098217B"/>
    <w:rsid w:val="009824FD"/>
    <w:rsid w:val="00983C6A"/>
    <w:rsid w:val="00983CAD"/>
    <w:rsid w:val="00983D4F"/>
    <w:rsid w:val="009841C9"/>
    <w:rsid w:val="00985BC0"/>
    <w:rsid w:val="00985D70"/>
    <w:rsid w:val="00987924"/>
    <w:rsid w:val="0099016A"/>
    <w:rsid w:val="00993136"/>
    <w:rsid w:val="009933FF"/>
    <w:rsid w:val="00994EDD"/>
    <w:rsid w:val="00994F38"/>
    <w:rsid w:val="00994F3D"/>
    <w:rsid w:val="00995239"/>
    <w:rsid w:val="00995911"/>
    <w:rsid w:val="00995EB4"/>
    <w:rsid w:val="0099605C"/>
    <w:rsid w:val="00996650"/>
    <w:rsid w:val="009A08BA"/>
    <w:rsid w:val="009A0E33"/>
    <w:rsid w:val="009A1562"/>
    <w:rsid w:val="009A17AB"/>
    <w:rsid w:val="009A46D9"/>
    <w:rsid w:val="009A541D"/>
    <w:rsid w:val="009A56CD"/>
    <w:rsid w:val="009A66D9"/>
    <w:rsid w:val="009B069C"/>
    <w:rsid w:val="009B0A3A"/>
    <w:rsid w:val="009B1A0E"/>
    <w:rsid w:val="009B29BD"/>
    <w:rsid w:val="009B3B07"/>
    <w:rsid w:val="009B42E2"/>
    <w:rsid w:val="009B4590"/>
    <w:rsid w:val="009B5C9F"/>
    <w:rsid w:val="009B5E95"/>
    <w:rsid w:val="009B5F95"/>
    <w:rsid w:val="009B6635"/>
    <w:rsid w:val="009B77B2"/>
    <w:rsid w:val="009B7D74"/>
    <w:rsid w:val="009C0145"/>
    <w:rsid w:val="009C1443"/>
    <w:rsid w:val="009C298B"/>
    <w:rsid w:val="009C2B47"/>
    <w:rsid w:val="009C3396"/>
    <w:rsid w:val="009C410B"/>
    <w:rsid w:val="009C4A1D"/>
    <w:rsid w:val="009C61F6"/>
    <w:rsid w:val="009C64B9"/>
    <w:rsid w:val="009C6BF7"/>
    <w:rsid w:val="009D2485"/>
    <w:rsid w:val="009D4D84"/>
    <w:rsid w:val="009D53CD"/>
    <w:rsid w:val="009D5621"/>
    <w:rsid w:val="009D67FA"/>
    <w:rsid w:val="009D69F8"/>
    <w:rsid w:val="009D7C55"/>
    <w:rsid w:val="009E17ED"/>
    <w:rsid w:val="009E1C30"/>
    <w:rsid w:val="009E1F8E"/>
    <w:rsid w:val="009E25C2"/>
    <w:rsid w:val="009E2893"/>
    <w:rsid w:val="009E293C"/>
    <w:rsid w:val="009E2CE4"/>
    <w:rsid w:val="009E2D0C"/>
    <w:rsid w:val="009E2E22"/>
    <w:rsid w:val="009E39B0"/>
    <w:rsid w:val="009E4475"/>
    <w:rsid w:val="009E4573"/>
    <w:rsid w:val="009E52A1"/>
    <w:rsid w:val="009E583A"/>
    <w:rsid w:val="009E6EF5"/>
    <w:rsid w:val="009E7487"/>
    <w:rsid w:val="009E7561"/>
    <w:rsid w:val="009E775E"/>
    <w:rsid w:val="009E784A"/>
    <w:rsid w:val="009E7BC8"/>
    <w:rsid w:val="009F0AD9"/>
    <w:rsid w:val="009F0BFA"/>
    <w:rsid w:val="009F11CE"/>
    <w:rsid w:val="009F26CB"/>
    <w:rsid w:val="009F441B"/>
    <w:rsid w:val="009F4901"/>
    <w:rsid w:val="009F61F7"/>
    <w:rsid w:val="009F65E3"/>
    <w:rsid w:val="00A009D2"/>
    <w:rsid w:val="00A0109A"/>
    <w:rsid w:val="00A01858"/>
    <w:rsid w:val="00A024ED"/>
    <w:rsid w:val="00A03ACA"/>
    <w:rsid w:val="00A05B02"/>
    <w:rsid w:val="00A07893"/>
    <w:rsid w:val="00A07B2D"/>
    <w:rsid w:val="00A11D2B"/>
    <w:rsid w:val="00A12393"/>
    <w:rsid w:val="00A12BB1"/>
    <w:rsid w:val="00A135A0"/>
    <w:rsid w:val="00A13F6D"/>
    <w:rsid w:val="00A13FDF"/>
    <w:rsid w:val="00A14BE7"/>
    <w:rsid w:val="00A14C16"/>
    <w:rsid w:val="00A15A66"/>
    <w:rsid w:val="00A162FD"/>
    <w:rsid w:val="00A17E75"/>
    <w:rsid w:val="00A17F82"/>
    <w:rsid w:val="00A21E3B"/>
    <w:rsid w:val="00A22FD0"/>
    <w:rsid w:val="00A2334F"/>
    <w:rsid w:val="00A236CD"/>
    <w:rsid w:val="00A24B2C"/>
    <w:rsid w:val="00A25001"/>
    <w:rsid w:val="00A26BC7"/>
    <w:rsid w:val="00A27F0F"/>
    <w:rsid w:val="00A30DA8"/>
    <w:rsid w:val="00A313FC"/>
    <w:rsid w:val="00A3342B"/>
    <w:rsid w:val="00A33D86"/>
    <w:rsid w:val="00A34A95"/>
    <w:rsid w:val="00A3574E"/>
    <w:rsid w:val="00A35F45"/>
    <w:rsid w:val="00A369B7"/>
    <w:rsid w:val="00A37194"/>
    <w:rsid w:val="00A37196"/>
    <w:rsid w:val="00A37B5C"/>
    <w:rsid w:val="00A37CD4"/>
    <w:rsid w:val="00A412D8"/>
    <w:rsid w:val="00A41A57"/>
    <w:rsid w:val="00A41F84"/>
    <w:rsid w:val="00A42166"/>
    <w:rsid w:val="00A42CEB"/>
    <w:rsid w:val="00A43792"/>
    <w:rsid w:val="00A43D2A"/>
    <w:rsid w:val="00A4440F"/>
    <w:rsid w:val="00A4489B"/>
    <w:rsid w:val="00A44EAA"/>
    <w:rsid w:val="00A44F90"/>
    <w:rsid w:val="00A45451"/>
    <w:rsid w:val="00A454C0"/>
    <w:rsid w:val="00A456F3"/>
    <w:rsid w:val="00A46002"/>
    <w:rsid w:val="00A46103"/>
    <w:rsid w:val="00A4655F"/>
    <w:rsid w:val="00A472DA"/>
    <w:rsid w:val="00A5029E"/>
    <w:rsid w:val="00A51DC2"/>
    <w:rsid w:val="00A51E88"/>
    <w:rsid w:val="00A53BFB"/>
    <w:rsid w:val="00A55B4C"/>
    <w:rsid w:val="00A56FA9"/>
    <w:rsid w:val="00A57182"/>
    <w:rsid w:val="00A577BD"/>
    <w:rsid w:val="00A57A67"/>
    <w:rsid w:val="00A57E87"/>
    <w:rsid w:val="00A604AE"/>
    <w:rsid w:val="00A60675"/>
    <w:rsid w:val="00A60EB5"/>
    <w:rsid w:val="00A61A5B"/>
    <w:rsid w:val="00A62CF1"/>
    <w:rsid w:val="00A631C5"/>
    <w:rsid w:val="00A643F4"/>
    <w:rsid w:val="00A64FC0"/>
    <w:rsid w:val="00A65950"/>
    <w:rsid w:val="00A65F83"/>
    <w:rsid w:val="00A66D4C"/>
    <w:rsid w:val="00A701A2"/>
    <w:rsid w:val="00A71F44"/>
    <w:rsid w:val="00A71F67"/>
    <w:rsid w:val="00A72050"/>
    <w:rsid w:val="00A72553"/>
    <w:rsid w:val="00A728B4"/>
    <w:rsid w:val="00A72F33"/>
    <w:rsid w:val="00A72F6B"/>
    <w:rsid w:val="00A7360E"/>
    <w:rsid w:val="00A736F5"/>
    <w:rsid w:val="00A73BD8"/>
    <w:rsid w:val="00A7403A"/>
    <w:rsid w:val="00A747BE"/>
    <w:rsid w:val="00A74BD1"/>
    <w:rsid w:val="00A75520"/>
    <w:rsid w:val="00A801B3"/>
    <w:rsid w:val="00A804AD"/>
    <w:rsid w:val="00A80F09"/>
    <w:rsid w:val="00A8159A"/>
    <w:rsid w:val="00A8256F"/>
    <w:rsid w:val="00A83A04"/>
    <w:rsid w:val="00A84F98"/>
    <w:rsid w:val="00A858FA"/>
    <w:rsid w:val="00A86485"/>
    <w:rsid w:val="00A86F43"/>
    <w:rsid w:val="00A87882"/>
    <w:rsid w:val="00A87A74"/>
    <w:rsid w:val="00A90FE2"/>
    <w:rsid w:val="00A91A3D"/>
    <w:rsid w:val="00A924A7"/>
    <w:rsid w:val="00A92651"/>
    <w:rsid w:val="00A92AFF"/>
    <w:rsid w:val="00A93A31"/>
    <w:rsid w:val="00A96747"/>
    <w:rsid w:val="00A9700F"/>
    <w:rsid w:val="00AA04D1"/>
    <w:rsid w:val="00AA1DD9"/>
    <w:rsid w:val="00AA2008"/>
    <w:rsid w:val="00AA202E"/>
    <w:rsid w:val="00AA24AB"/>
    <w:rsid w:val="00AA2703"/>
    <w:rsid w:val="00AA2A33"/>
    <w:rsid w:val="00AA3F13"/>
    <w:rsid w:val="00AA54E2"/>
    <w:rsid w:val="00AA6689"/>
    <w:rsid w:val="00AA70EC"/>
    <w:rsid w:val="00AB05E0"/>
    <w:rsid w:val="00AB158F"/>
    <w:rsid w:val="00AB2860"/>
    <w:rsid w:val="00AB2B6D"/>
    <w:rsid w:val="00AB35AC"/>
    <w:rsid w:val="00AB5F57"/>
    <w:rsid w:val="00AB627A"/>
    <w:rsid w:val="00AB6A99"/>
    <w:rsid w:val="00AB6FB9"/>
    <w:rsid w:val="00AB71D4"/>
    <w:rsid w:val="00AB7A0B"/>
    <w:rsid w:val="00AB7BC0"/>
    <w:rsid w:val="00AC1521"/>
    <w:rsid w:val="00AC24AA"/>
    <w:rsid w:val="00AC256B"/>
    <w:rsid w:val="00AC2E25"/>
    <w:rsid w:val="00AC4093"/>
    <w:rsid w:val="00AC442B"/>
    <w:rsid w:val="00AC62C7"/>
    <w:rsid w:val="00AC703B"/>
    <w:rsid w:val="00AD143C"/>
    <w:rsid w:val="00AD14D4"/>
    <w:rsid w:val="00AD14D6"/>
    <w:rsid w:val="00AD1C69"/>
    <w:rsid w:val="00AD2636"/>
    <w:rsid w:val="00AD39D1"/>
    <w:rsid w:val="00AD4064"/>
    <w:rsid w:val="00AD43A6"/>
    <w:rsid w:val="00AD451D"/>
    <w:rsid w:val="00AD55CB"/>
    <w:rsid w:val="00AD5EAB"/>
    <w:rsid w:val="00AD62D6"/>
    <w:rsid w:val="00AD6438"/>
    <w:rsid w:val="00AD6451"/>
    <w:rsid w:val="00AD76E3"/>
    <w:rsid w:val="00AD7798"/>
    <w:rsid w:val="00AD7E38"/>
    <w:rsid w:val="00AE01D0"/>
    <w:rsid w:val="00AE2492"/>
    <w:rsid w:val="00AE287C"/>
    <w:rsid w:val="00AE293C"/>
    <w:rsid w:val="00AE2F7B"/>
    <w:rsid w:val="00AE3A71"/>
    <w:rsid w:val="00AE413C"/>
    <w:rsid w:val="00AE45C5"/>
    <w:rsid w:val="00AE562E"/>
    <w:rsid w:val="00AE5A7E"/>
    <w:rsid w:val="00AE5CB5"/>
    <w:rsid w:val="00AE611A"/>
    <w:rsid w:val="00AE6A49"/>
    <w:rsid w:val="00AE73D4"/>
    <w:rsid w:val="00AE7412"/>
    <w:rsid w:val="00AF0156"/>
    <w:rsid w:val="00AF15C2"/>
    <w:rsid w:val="00AF1E7E"/>
    <w:rsid w:val="00AF4C42"/>
    <w:rsid w:val="00AF5E36"/>
    <w:rsid w:val="00B00C29"/>
    <w:rsid w:val="00B013EB"/>
    <w:rsid w:val="00B016EF"/>
    <w:rsid w:val="00B0265E"/>
    <w:rsid w:val="00B03E83"/>
    <w:rsid w:val="00B055BB"/>
    <w:rsid w:val="00B06459"/>
    <w:rsid w:val="00B06D66"/>
    <w:rsid w:val="00B077AF"/>
    <w:rsid w:val="00B0794D"/>
    <w:rsid w:val="00B10734"/>
    <w:rsid w:val="00B11A9B"/>
    <w:rsid w:val="00B11FCB"/>
    <w:rsid w:val="00B12F90"/>
    <w:rsid w:val="00B135E6"/>
    <w:rsid w:val="00B1513D"/>
    <w:rsid w:val="00B154AD"/>
    <w:rsid w:val="00B15B5D"/>
    <w:rsid w:val="00B161D6"/>
    <w:rsid w:val="00B173A2"/>
    <w:rsid w:val="00B2137D"/>
    <w:rsid w:val="00B218A0"/>
    <w:rsid w:val="00B22157"/>
    <w:rsid w:val="00B222BF"/>
    <w:rsid w:val="00B223BA"/>
    <w:rsid w:val="00B22549"/>
    <w:rsid w:val="00B23786"/>
    <w:rsid w:val="00B24349"/>
    <w:rsid w:val="00B252B9"/>
    <w:rsid w:val="00B25E7D"/>
    <w:rsid w:val="00B27217"/>
    <w:rsid w:val="00B27296"/>
    <w:rsid w:val="00B2749A"/>
    <w:rsid w:val="00B3062C"/>
    <w:rsid w:val="00B3193E"/>
    <w:rsid w:val="00B32E90"/>
    <w:rsid w:val="00B34E70"/>
    <w:rsid w:val="00B35685"/>
    <w:rsid w:val="00B35CAC"/>
    <w:rsid w:val="00B3767F"/>
    <w:rsid w:val="00B4063C"/>
    <w:rsid w:val="00B42481"/>
    <w:rsid w:val="00B42865"/>
    <w:rsid w:val="00B43A80"/>
    <w:rsid w:val="00B43B34"/>
    <w:rsid w:val="00B43D25"/>
    <w:rsid w:val="00B440F4"/>
    <w:rsid w:val="00B44BF3"/>
    <w:rsid w:val="00B46FE4"/>
    <w:rsid w:val="00B47856"/>
    <w:rsid w:val="00B47946"/>
    <w:rsid w:val="00B51140"/>
    <w:rsid w:val="00B5168D"/>
    <w:rsid w:val="00B51755"/>
    <w:rsid w:val="00B52226"/>
    <w:rsid w:val="00B522CE"/>
    <w:rsid w:val="00B5259A"/>
    <w:rsid w:val="00B54171"/>
    <w:rsid w:val="00B61863"/>
    <w:rsid w:val="00B61946"/>
    <w:rsid w:val="00B62597"/>
    <w:rsid w:val="00B6374F"/>
    <w:rsid w:val="00B63B5C"/>
    <w:rsid w:val="00B63D4D"/>
    <w:rsid w:val="00B665B5"/>
    <w:rsid w:val="00B70216"/>
    <w:rsid w:val="00B713C7"/>
    <w:rsid w:val="00B71BA1"/>
    <w:rsid w:val="00B71D08"/>
    <w:rsid w:val="00B71FB3"/>
    <w:rsid w:val="00B7330C"/>
    <w:rsid w:val="00B73886"/>
    <w:rsid w:val="00B7559B"/>
    <w:rsid w:val="00B8006C"/>
    <w:rsid w:val="00B83385"/>
    <w:rsid w:val="00B84DC9"/>
    <w:rsid w:val="00B85705"/>
    <w:rsid w:val="00B86F5F"/>
    <w:rsid w:val="00B87DBE"/>
    <w:rsid w:val="00B90AF9"/>
    <w:rsid w:val="00B918B5"/>
    <w:rsid w:val="00B92FEE"/>
    <w:rsid w:val="00B94353"/>
    <w:rsid w:val="00B943FD"/>
    <w:rsid w:val="00B95214"/>
    <w:rsid w:val="00B9566A"/>
    <w:rsid w:val="00B979DB"/>
    <w:rsid w:val="00BA12B0"/>
    <w:rsid w:val="00BA1386"/>
    <w:rsid w:val="00BA1417"/>
    <w:rsid w:val="00BA1500"/>
    <w:rsid w:val="00BA2448"/>
    <w:rsid w:val="00BA4499"/>
    <w:rsid w:val="00BA5484"/>
    <w:rsid w:val="00BA5581"/>
    <w:rsid w:val="00BA79AA"/>
    <w:rsid w:val="00BA7E5C"/>
    <w:rsid w:val="00BA7FC1"/>
    <w:rsid w:val="00BB1A30"/>
    <w:rsid w:val="00BB1F71"/>
    <w:rsid w:val="00BB23E7"/>
    <w:rsid w:val="00BB24EC"/>
    <w:rsid w:val="00BB455A"/>
    <w:rsid w:val="00BB46BC"/>
    <w:rsid w:val="00BB4A39"/>
    <w:rsid w:val="00BB5421"/>
    <w:rsid w:val="00BB6031"/>
    <w:rsid w:val="00BB694F"/>
    <w:rsid w:val="00BB6960"/>
    <w:rsid w:val="00BB7FBC"/>
    <w:rsid w:val="00BC01AA"/>
    <w:rsid w:val="00BC1345"/>
    <w:rsid w:val="00BC2AB0"/>
    <w:rsid w:val="00BC2D06"/>
    <w:rsid w:val="00BC3279"/>
    <w:rsid w:val="00BC339D"/>
    <w:rsid w:val="00BC36CD"/>
    <w:rsid w:val="00BC42E9"/>
    <w:rsid w:val="00BC6835"/>
    <w:rsid w:val="00BC786D"/>
    <w:rsid w:val="00BC7A4F"/>
    <w:rsid w:val="00BD172A"/>
    <w:rsid w:val="00BD1D26"/>
    <w:rsid w:val="00BD22EC"/>
    <w:rsid w:val="00BD442C"/>
    <w:rsid w:val="00BD504B"/>
    <w:rsid w:val="00BD5AB2"/>
    <w:rsid w:val="00BD5EB7"/>
    <w:rsid w:val="00BD6A41"/>
    <w:rsid w:val="00BD6EDD"/>
    <w:rsid w:val="00BD717B"/>
    <w:rsid w:val="00BD777C"/>
    <w:rsid w:val="00BD784A"/>
    <w:rsid w:val="00BD7F3D"/>
    <w:rsid w:val="00BE01E3"/>
    <w:rsid w:val="00BE130C"/>
    <w:rsid w:val="00BE2147"/>
    <w:rsid w:val="00BE28A6"/>
    <w:rsid w:val="00BE38BC"/>
    <w:rsid w:val="00BE3EB2"/>
    <w:rsid w:val="00BE6D42"/>
    <w:rsid w:val="00BE6D64"/>
    <w:rsid w:val="00BF114F"/>
    <w:rsid w:val="00BF13A4"/>
    <w:rsid w:val="00BF28F0"/>
    <w:rsid w:val="00BF3004"/>
    <w:rsid w:val="00BF3F0F"/>
    <w:rsid w:val="00BF5A24"/>
    <w:rsid w:val="00BF5AC0"/>
    <w:rsid w:val="00BF6B17"/>
    <w:rsid w:val="00BF6E0A"/>
    <w:rsid w:val="00C001F9"/>
    <w:rsid w:val="00C012CC"/>
    <w:rsid w:val="00C01E9D"/>
    <w:rsid w:val="00C0245D"/>
    <w:rsid w:val="00C034C5"/>
    <w:rsid w:val="00C03516"/>
    <w:rsid w:val="00C0361E"/>
    <w:rsid w:val="00C04258"/>
    <w:rsid w:val="00C06107"/>
    <w:rsid w:val="00C06846"/>
    <w:rsid w:val="00C06907"/>
    <w:rsid w:val="00C0762A"/>
    <w:rsid w:val="00C076D6"/>
    <w:rsid w:val="00C07BA4"/>
    <w:rsid w:val="00C103F4"/>
    <w:rsid w:val="00C109D4"/>
    <w:rsid w:val="00C10E23"/>
    <w:rsid w:val="00C1187A"/>
    <w:rsid w:val="00C11C6F"/>
    <w:rsid w:val="00C12F2B"/>
    <w:rsid w:val="00C1371A"/>
    <w:rsid w:val="00C1416E"/>
    <w:rsid w:val="00C1491B"/>
    <w:rsid w:val="00C1640E"/>
    <w:rsid w:val="00C16F7C"/>
    <w:rsid w:val="00C17CEC"/>
    <w:rsid w:val="00C216D9"/>
    <w:rsid w:val="00C22A22"/>
    <w:rsid w:val="00C26257"/>
    <w:rsid w:val="00C26367"/>
    <w:rsid w:val="00C3020B"/>
    <w:rsid w:val="00C3268B"/>
    <w:rsid w:val="00C32955"/>
    <w:rsid w:val="00C32B7B"/>
    <w:rsid w:val="00C3671A"/>
    <w:rsid w:val="00C37D1A"/>
    <w:rsid w:val="00C4201D"/>
    <w:rsid w:val="00C432CE"/>
    <w:rsid w:val="00C435D8"/>
    <w:rsid w:val="00C43B07"/>
    <w:rsid w:val="00C44517"/>
    <w:rsid w:val="00C45448"/>
    <w:rsid w:val="00C45B68"/>
    <w:rsid w:val="00C464E0"/>
    <w:rsid w:val="00C46B06"/>
    <w:rsid w:val="00C46CAB"/>
    <w:rsid w:val="00C46EEF"/>
    <w:rsid w:val="00C47AFB"/>
    <w:rsid w:val="00C47B00"/>
    <w:rsid w:val="00C536CC"/>
    <w:rsid w:val="00C5416A"/>
    <w:rsid w:val="00C54DAE"/>
    <w:rsid w:val="00C55931"/>
    <w:rsid w:val="00C564CC"/>
    <w:rsid w:val="00C56FAD"/>
    <w:rsid w:val="00C57815"/>
    <w:rsid w:val="00C607FA"/>
    <w:rsid w:val="00C610BA"/>
    <w:rsid w:val="00C61B7F"/>
    <w:rsid w:val="00C63763"/>
    <w:rsid w:val="00C654B1"/>
    <w:rsid w:val="00C679C8"/>
    <w:rsid w:val="00C67B91"/>
    <w:rsid w:val="00C7194F"/>
    <w:rsid w:val="00C7253C"/>
    <w:rsid w:val="00C730E0"/>
    <w:rsid w:val="00C7419A"/>
    <w:rsid w:val="00C74806"/>
    <w:rsid w:val="00C80002"/>
    <w:rsid w:val="00C81402"/>
    <w:rsid w:val="00C82260"/>
    <w:rsid w:val="00C82DBD"/>
    <w:rsid w:val="00C831BB"/>
    <w:rsid w:val="00C84651"/>
    <w:rsid w:val="00C84E2A"/>
    <w:rsid w:val="00C85652"/>
    <w:rsid w:val="00C856E8"/>
    <w:rsid w:val="00C863D9"/>
    <w:rsid w:val="00C90600"/>
    <w:rsid w:val="00C90B02"/>
    <w:rsid w:val="00C90B68"/>
    <w:rsid w:val="00C9124A"/>
    <w:rsid w:val="00C9133B"/>
    <w:rsid w:val="00C91A82"/>
    <w:rsid w:val="00C91AAA"/>
    <w:rsid w:val="00C92C40"/>
    <w:rsid w:val="00C935A1"/>
    <w:rsid w:val="00C93F6B"/>
    <w:rsid w:val="00C94A5D"/>
    <w:rsid w:val="00C94BD5"/>
    <w:rsid w:val="00C950D9"/>
    <w:rsid w:val="00C956EA"/>
    <w:rsid w:val="00C96468"/>
    <w:rsid w:val="00C9659E"/>
    <w:rsid w:val="00C9703F"/>
    <w:rsid w:val="00C97374"/>
    <w:rsid w:val="00C978BA"/>
    <w:rsid w:val="00C97B5E"/>
    <w:rsid w:val="00CA0579"/>
    <w:rsid w:val="00CA09B8"/>
    <w:rsid w:val="00CA09D3"/>
    <w:rsid w:val="00CA0A98"/>
    <w:rsid w:val="00CA0CD6"/>
    <w:rsid w:val="00CA1D51"/>
    <w:rsid w:val="00CA2CA8"/>
    <w:rsid w:val="00CA36ED"/>
    <w:rsid w:val="00CA41B6"/>
    <w:rsid w:val="00CA5B6C"/>
    <w:rsid w:val="00CA5BCE"/>
    <w:rsid w:val="00CA67CD"/>
    <w:rsid w:val="00CA70C0"/>
    <w:rsid w:val="00CA745A"/>
    <w:rsid w:val="00CA7E39"/>
    <w:rsid w:val="00CB128D"/>
    <w:rsid w:val="00CB135B"/>
    <w:rsid w:val="00CB145A"/>
    <w:rsid w:val="00CB176F"/>
    <w:rsid w:val="00CB2856"/>
    <w:rsid w:val="00CB4546"/>
    <w:rsid w:val="00CB459E"/>
    <w:rsid w:val="00CB59F1"/>
    <w:rsid w:val="00CB5E4F"/>
    <w:rsid w:val="00CB6034"/>
    <w:rsid w:val="00CB64A8"/>
    <w:rsid w:val="00CB7CCC"/>
    <w:rsid w:val="00CB7E10"/>
    <w:rsid w:val="00CC14E5"/>
    <w:rsid w:val="00CC1869"/>
    <w:rsid w:val="00CC18E1"/>
    <w:rsid w:val="00CC1908"/>
    <w:rsid w:val="00CC1BA6"/>
    <w:rsid w:val="00CC2BAA"/>
    <w:rsid w:val="00CC3C5D"/>
    <w:rsid w:val="00CC3D3E"/>
    <w:rsid w:val="00CC4D3C"/>
    <w:rsid w:val="00CC5AC1"/>
    <w:rsid w:val="00CC6397"/>
    <w:rsid w:val="00CC661F"/>
    <w:rsid w:val="00CC7676"/>
    <w:rsid w:val="00CD0C9A"/>
    <w:rsid w:val="00CD10A1"/>
    <w:rsid w:val="00CD1B52"/>
    <w:rsid w:val="00CD3030"/>
    <w:rsid w:val="00CD3A2D"/>
    <w:rsid w:val="00CD4126"/>
    <w:rsid w:val="00CD4C8D"/>
    <w:rsid w:val="00CD520D"/>
    <w:rsid w:val="00CD6CBD"/>
    <w:rsid w:val="00CD7D71"/>
    <w:rsid w:val="00CE0389"/>
    <w:rsid w:val="00CE0DB6"/>
    <w:rsid w:val="00CE1028"/>
    <w:rsid w:val="00CE1A3D"/>
    <w:rsid w:val="00CE1B8E"/>
    <w:rsid w:val="00CE1E22"/>
    <w:rsid w:val="00CE246E"/>
    <w:rsid w:val="00CE3A7F"/>
    <w:rsid w:val="00CE6A1D"/>
    <w:rsid w:val="00CE7237"/>
    <w:rsid w:val="00CE7C41"/>
    <w:rsid w:val="00CF0828"/>
    <w:rsid w:val="00CF0CCC"/>
    <w:rsid w:val="00CF263F"/>
    <w:rsid w:val="00CF4CE6"/>
    <w:rsid w:val="00CF61E8"/>
    <w:rsid w:val="00CF62FD"/>
    <w:rsid w:val="00CF6D2E"/>
    <w:rsid w:val="00CF712C"/>
    <w:rsid w:val="00D00062"/>
    <w:rsid w:val="00D00C2A"/>
    <w:rsid w:val="00D02311"/>
    <w:rsid w:val="00D024F6"/>
    <w:rsid w:val="00D026F6"/>
    <w:rsid w:val="00D032B9"/>
    <w:rsid w:val="00D058F7"/>
    <w:rsid w:val="00D06A10"/>
    <w:rsid w:val="00D06B2C"/>
    <w:rsid w:val="00D077B9"/>
    <w:rsid w:val="00D07852"/>
    <w:rsid w:val="00D07D57"/>
    <w:rsid w:val="00D11129"/>
    <w:rsid w:val="00D111C9"/>
    <w:rsid w:val="00D120A5"/>
    <w:rsid w:val="00D12470"/>
    <w:rsid w:val="00D128DF"/>
    <w:rsid w:val="00D12BB5"/>
    <w:rsid w:val="00D13422"/>
    <w:rsid w:val="00D14E8A"/>
    <w:rsid w:val="00D15E28"/>
    <w:rsid w:val="00D160AC"/>
    <w:rsid w:val="00D16C1C"/>
    <w:rsid w:val="00D17D79"/>
    <w:rsid w:val="00D2219D"/>
    <w:rsid w:val="00D226BF"/>
    <w:rsid w:val="00D22BAB"/>
    <w:rsid w:val="00D239EB"/>
    <w:rsid w:val="00D23AAC"/>
    <w:rsid w:val="00D25318"/>
    <w:rsid w:val="00D261ED"/>
    <w:rsid w:val="00D30BB8"/>
    <w:rsid w:val="00D314D3"/>
    <w:rsid w:val="00D31CBB"/>
    <w:rsid w:val="00D32750"/>
    <w:rsid w:val="00D3410B"/>
    <w:rsid w:val="00D35AAA"/>
    <w:rsid w:val="00D3706E"/>
    <w:rsid w:val="00D372F0"/>
    <w:rsid w:val="00D37EFD"/>
    <w:rsid w:val="00D41733"/>
    <w:rsid w:val="00D42409"/>
    <w:rsid w:val="00D438B7"/>
    <w:rsid w:val="00D4526B"/>
    <w:rsid w:val="00D45B31"/>
    <w:rsid w:val="00D45C62"/>
    <w:rsid w:val="00D46134"/>
    <w:rsid w:val="00D46CD3"/>
    <w:rsid w:val="00D51AEC"/>
    <w:rsid w:val="00D51EA2"/>
    <w:rsid w:val="00D52080"/>
    <w:rsid w:val="00D53796"/>
    <w:rsid w:val="00D53D80"/>
    <w:rsid w:val="00D53FDA"/>
    <w:rsid w:val="00D546FC"/>
    <w:rsid w:val="00D54C52"/>
    <w:rsid w:val="00D54DB9"/>
    <w:rsid w:val="00D55D85"/>
    <w:rsid w:val="00D562BA"/>
    <w:rsid w:val="00D56434"/>
    <w:rsid w:val="00D57A2E"/>
    <w:rsid w:val="00D60375"/>
    <w:rsid w:val="00D60388"/>
    <w:rsid w:val="00D607F8"/>
    <w:rsid w:val="00D60ADA"/>
    <w:rsid w:val="00D614F3"/>
    <w:rsid w:val="00D63AA8"/>
    <w:rsid w:val="00D63F6F"/>
    <w:rsid w:val="00D64A1A"/>
    <w:rsid w:val="00D654AF"/>
    <w:rsid w:val="00D66999"/>
    <w:rsid w:val="00D678FF"/>
    <w:rsid w:val="00D708D8"/>
    <w:rsid w:val="00D7097A"/>
    <w:rsid w:val="00D719C0"/>
    <w:rsid w:val="00D738B7"/>
    <w:rsid w:val="00D76033"/>
    <w:rsid w:val="00D766B0"/>
    <w:rsid w:val="00D766B7"/>
    <w:rsid w:val="00D770BB"/>
    <w:rsid w:val="00D80673"/>
    <w:rsid w:val="00D81713"/>
    <w:rsid w:val="00D82589"/>
    <w:rsid w:val="00D82CAB"/>
    <w:rsid w:val="00D83118"/>
    <w:rsid w:val="00D844A1"/>
    <w:rsid w:val="00D845BD"/>
    <w:rsid w:val="00D85456"/>
    <w:rsid w:val="00D855AB"/>
    <w:rsid w:val="00D868E9"/>
    <w:rsid w:val="00D86C4A"/>
    <w:rsid w:val="00D90091"/>
    <w:rsid w:val="00D90C2D"/>
    <w:rsid w:val="00D911FA"/>
    <w:rsid w:val="00D92751"/>
    <w:rsid w:val="00D9284F"/>
    <w:rsid w:val="00D92A90"/>
    <w:rsid w:val="00D92D96"/>
    <w:rsid w:val="00D93376"/>
    <w:rsid w:val="00D93A03"/>
    <w:rsid w:val="00D93AF2"/>
    <w:rsid w:val="00D95076"/>
    <w:rsid w:val="00D9582F"/>
    <w:rsid w:val="00D968A4"/>
    <w:rsid w:val="00D97126"/>
    <w:rsid w:val="00D97873"/>
    <w:rsid w:val="00D979C1"/>
    <w:rsid w:val="00DA19E0"/>
    <w:rsid w:val="00DA2890"/>
    <w:rsid w:val="00DA2B10"/>
    <w:rsid w:val="00DA3934"/>
    <w:rsid w:val="00DA3A24"/>
    <w:rsid w:val="00DA48CB"/>
    <w:rsid w:val="00DA5200"/>
    <w:rsid w:val="00DA5DC2"/>
    <w:rsid w:val="00DA5E27"/>
    <w:rsid w:val="00DA70CB"/>
    <w:rsid w:val="00DA7CFB"/>
    <w:rsid w:val="00DB1689"/>
    <w:rsid w:val="00DB1F21"/>
    <w:rsid w:val="00DB207E"/>
    <w:rsid w:val="00DB238E"/>
    <w:rsid w:val="00DB28D1"/>
    <w:rsid w:val="00DB2C1C"/>
    <w:rsid w:val="00DB2C30"/>
    <w:rsid w:val="00DB3796"/>
    <w:rsid w:val="00DB45C5"/>
    <w:rsid w:val="00DB6BA2"/>
    <w:rsid w:val="00DB7138"/>
    <w:rsid w:val="00DB7B42"/>
    <w:rsid w:val="00DC1D66"/>
    <w:rsid w:val="00DC2196"/>
    <w:rsid w:val="00DC2E81"/>
    <w:rsid w:val="00DC397B"/>
    <w:rsid w:val="00DC40D7"/>
    <w:rsid w:val="00DC52AB"/>
    <w:rsid w:val="00DC6D26"/>
    <w:rsid w:val="00DC7B19"/>
    <w:rsid w:val="00DD1C77"/>
    <w:rsid w:val="00DD1CF0"/>
    <w:rsid w:val="00DD3A3F"/>
    <w:rsid w:val="00DD3BAF"/>
    <w:rsid w:val="00DD506D"/>
    <w:rsid w:val="00DD55FF"/>
    <w:rsid w:val="00DD5894"/>
    <w:rsid w:val="00DD787A"/>
    <w:rsid w:val="00DD7E62"/>
    <w:rsid w:val="00DE0959"/>
    <w:rsid w:val="00DE0FF1"/>
    <w:rsid w:val="00DE1AFC"/>
    <w:rsid w:val="00DE2D71"/>
    <w:rsid w:val="00DE6726"/>
    <w:rsid w:val="00DE7DA8"/>
    <w:rsid w:val="00DF5282"/>
    <w:rsid w:val="00DF5A14"/>
    <w:rsid w:val="00DF70C9"/>
    <w:rsid w:val="00E0173E"/>
    <w:rsid w:val="00E0258A"/>
    <w:rsid w:val="00E043CF"/>
    <w:rsid w:val="00E04721"/>
    <w:rsid w:val="00E0527B"/>
    <w:rsid w:val="00E05D6E"/>
    <w:rsid w:val="00E06E51"/>
    <w:rsid w:val="00E06F13"/>
    <w:rsid w:val="00E06FB2"/>
    <w:rsid w:val="00E0702A"/>
    <w:rsid w:val="00E070D2"/>
    <w:rsid w:val="00E103E7"/>
    <w:rsid w:val="00E1253E"/>
    <w:rsid w:val="00E12CDC"/>
    <w:rsid w:val="00E13EB2"/>
    <w:rsid w:val="00E141AF"/>
    <w:rsid w:val="00E14B85"/>
    <w:rsid w:val="00E15BB4"/>
    <w:rsid w:val="00E177BA"/>
    <w:rsid w:val="00E17E97"/>
    <w:rsid w:val="00E2165F"/>
    <w:rsid w:val="00E21882"/>
    <w:rsid w:val="00E22887"/>
    <w:rsid w:val="00E22A14"/>
    <w:rsid w:val="00E22BA8"/>
    <w:rsid w:val="00E2324E"/>
    <w:rsid w:val="00E2356E"/>
    <w:rsid w:val="00E23692"/>
    <w:rsid w:val="00E2397E"/>
    <w:rsid w:val="00E23C9A"/>
    <w:rsid w:val="00E24506"/>
    <w:rsid w:val="00E245CA"/>
    <w:rsid w:val="00E24CAA"/>
    <w:rsid w:val="00E24EAD"/>
    <w:rsid w:val="00E26C28"/>
    <w:rsid w:val="00E26CF5"/>
    <w:rsid w:val="00E305CB"/>
    <w:rsid w:val="00E315D9"/>
    <w:rsid w:val="00E327D1"/>
    <w:rsid w:val="00E33057"/>
    <w:rsid w:val="00E33664"/>
    <w:rsid w:val="00E33F35"/>
    <w:rsid w:val="00E34341"/>
    <w:rsid w:val="00E34AFD"/>
    <w:rsid w:val="00E35E8E"/>
    <w:rsid w:val="00E361FC"/>
    <w:rsid w:val="00E36A77"/>
    <w:rsid w:val="00E36C5C"/>
    <w:rsid w:val="00E36EFC"/>
    <w:rsid w:val="00E36EFE"/>
    <w:rsid w:val="00E3738A"/>
    <w:rsid w:val="00E37C00"/>
    <w:rsid w:val="00E37C84"/>
    <w:rsid w:val="00E42485"/>
    <w:rsid w:val="00E43D55"/>
    <w:rsid w:val="00E444F9"/>
    <w:rsid w:val="00E4485B"/>
    <w:rsid w:val="00E44E4E"/>
    <w:rsid w:val="00E44E7C"/>
    <w:rsid w:val="00E450F6"/>
    <w:rsid w:val="00E465E1"/>
    <w:rsid w:val="00E4775C"/>
    <w:rsid w:val="00E47DBB"/>
    <w:rsid w:val="00E5019D"/>
    <w:rsid w:val="00E503E0"/>
    <w:rsid w:val="00E50EF8"/>
    <w:rsid w:val="00E52384"/>
    <w:rsid w:val="00E52B03"/>
    <w:rsid w:val="00E55F66"/>
    <w:rsid w:val="00E5654D"/>
    <w:rsid w:val="00E56824"/>
    <w:rsid w:val="00E56B95"/>
    <w:rsid w:val="00E56E1B"/>
    <w:rsid w:val="00E60B46"/>
    <w:rsid w:val="00E614A2"/>
    <w:rsid w:val="00E621AF"/>
    <w:rsid w:val="00E62A16"/>
    <w:rsid w:val="00E637E8"/>
    <w:rsid w:val="00E63ECC"/>
    <w:rsid w:val="00E64BAA"/>
    <w:rsid w:val="00E65ACB"/>
    <w:rsid w:val="00E67050"/>
    <w:rsid w:val="00E70AD3"/>
    <w:rsid w:val="00E738A4"/>
    <w:rsid w:val="00E73D3D"/>
    <w:rsid w:val="00E741F0"/>
    <w:rsid w:val="00E74356"/>
    <w:rsid w:val="00E75860"/>
    <w:rsid w:val="00E75B00"/>
    <w:rsid w:val="00E7645C"/>
    <w:rsid w:val="00E764E3"/>
    <w:rsid w:val="00E8019D"/>
    <w:rsid w:val="00E809A8"/>
    <w:rsid w:val="00E81845"/>
    <w:rsid w:val="00E82891"/>
    <w:rsid w:val="00E84478"/>
    <w:rsid w:val="00E84B78"/>
    <w:rsid w:val="00E8652B"/>
    <w:rsid w:val="00E87290"/>
    <w:rsid w:val="00E8757B"/>
    <w:rsid w:val="00E87FF5"/>
    <w:rsid w:val="00E90177"/>
    <w:rsid w:val="00E902E8"/>
    <w:rsid w:val="00E90E5B"/>
    <w:rsid w:val="00E915B1"/>
    <w:rsid w:val="00E9161D"/>
    <w:rsid w:val="00E91755"/>
    <w:rsid w:val="00E92463"/>
    <w:rsid w:val="00E93227"/>
    <w:rsid w:val="00E933DB"/>
    <w:rsid w:val="00E93A5E"/>
    <w:rsid w:val="00E95FB1"/>
    <w:rsid w:val="00E960C1"/>
    <w:rsid w:val="00E96612"/>
    <w:rsid w:val="00E96E5A"/>
    <w:rsid w:val="00E97151"/>
    <w:rsid w:val="00EA1AB6"/>
    <w:rsid w:val="00EA1B40"/>
    <w:rsid w:val="00EA1B7E"/>
    <w:rsid w:val="00EA2853"/>
    <w:rsid w:val="00EA3BB7"/>
    <w:rsid w:val="00EA4467"/>
    <w:rsid w:val="00EA5035"/>
    <w:rsid w:val="00EA619A"/>
    <w:rsid w:val="00EA630C"/>
    <w:rsid w:val="00EA64FB"/>
    <w:rsid w:val="00EA6732"/>
    <w:rsid w:val="00EB0342"/>
    <w:rsid w:val="00EB079C"/>
    <w:rsid w:val="00EB09F3"/>
    <w:rsid w:val="00EB2080"/>
    <w:rsid w:val="00EB3DD3"/>
    <w:rsid w:val="00EB3DE1"/>
    <w:rsid w:val="00EB4245"/>
    <w:rsid w:val="00EB4DEF"/>
    <w:rsid w:val="00EB568F"/>
    <w:rsid w:val="00EB5C11"/>
    <w:rsid w:val="00EC09F9"/>
    <w:rsid w:val="00EC1DD6"/>
    <w:rsid w:val="00EC21EA"/>
    <w:rsid w:val="00EC3A8E"/>
    <w:rsid w:val="00EC4756"/>
    <w:rsid w:val="00EC596C"/>
    <w:rsid w:val="00EC5B07"/>
    <w:rsid w:val="00EC636A"/>
    <w:rsid w:val="00ED00A3"/>
    <w:rsid w:val="00ED01A1"/>
    <w:rsid w:val="00ED05B3"/>
    <w:rsid w:val="00ED0AF4"/>
    <w:rsid w:val="00ED1E5C"/>
    <w:rsid w:val="00ED2494"/>
    <w:rsid w:val="00ED24FD"/>
    <w:rsid w:val="00ED4425"/>
    <w:rsid w:val="00ED45E6"/>
    <w:rsid w:val="00ED495F"/>
    <w:rsid w:val="00ED4D2E"/>
    <w:rsid w:val="00ED557C"/>
    <w:rsid w:val="00ED5CAE"/>
    <w:rsid w:val="00ED707D"/>
    <w:rsid w:val="00ED78DA"/>
    <w:rsid w:val="00EE14A8"/>
    <w:rsid w:val="00EE1A34"/>
    <w:rsid w:val="00EE214D"/>
    <w:rsid w:val="00EE2660"/>
    <w:rsid w:val="00EE2799"/>
    <w:rsid w:val="00EE307B"/>
    <w:rsid w:val="00EE377A"/>
    <w:rsid w:val="00EE4336"/>
    <w:rsid w:val="00EE515A"/>
    <w:rsid w:val="00EE6670"/>
    <w:rsid w:val="00EE6805"/>
    <w:rsid w:val="00EE6F88"/>
    <w:rsid w:val="00EF06B3"/>
    <w:rsid w:val="00EF39B7"/>
    <w:rsid w:val="00EF3FB6"/>
    <w:rsid w:val="00EF437D"/>
    <w:rsid w:val="00EF6C38"/>
    <w:rsid w:val="00EF7EAC"/>
    <w:rsid w:val="00F00120"/>
    <w:rsid w:val="00F01297"/>
    <w:rsid w:val="00F01C0B"/>
    <w:rsid w:val="00F030DF"/>
    <w:rsid w:val="00F03E88"/>
    <w:rsid w:val="00F04C80"/>
    <w:rsid w:val="00F050EE"/>
    <w:rsid w:val="00F05141"/>
    <w:rsid w:val="00F05374"/>
    <w:rsid w:val="00F05481"/>
    <w:rsid w:val="00F05931"/>
    <w:rsid w:val="00F0646A"/>
    <w:rsid w:val="00F06ECA"/>
    <w:rsid w:val="00F07C49"/>
    <w:rsid w:val="00F10B44"/>
    <w:rsid w:val="00F10B88"/>
    <w:rsid w:val="00F10DD9"/>
    <w:rsid w:val="00F11456"/>
    <w:rsid w:val="00F11F45"/>
    <w:rsid w:val="00F123C5"/>
    <w:rsid w:val="00F12A0C"/>
    <w:rsid w:val="00F13059"/>
    <w:rsid w:val="00F1322F"/>
    <w:rsid w:val="00F1398B"/>
    <w:rsid w:val="00F13CA8"/>
    <w:rsid w:val="00F13E6B"/>
    <w:rsid w:val="00F15E20"/>
    <w:rsid w:val="00F15FD3"/>
    <w:rsid w:val="00F16182"/>
    <w:rsid w:val="00F17930"/>
    <w:rsid w:val="00F17B68"/>
    <w:rsid w:val="00F20125"/>
    <w:rsid w:val="00F20C3A"/>
    <w:rsid w:val="00F22B91"/>
    <w:rsid w:val="00F24A70"/>
    <w:rsid w:val="00F24E0B"/>
    <w:rsid w:val="00F2528B"/>
    <w:rsid w:val="00F256A7"/>
    <w:rsid w:val="00F269D0"/>
    <w:rsid w:val="00F26BC2"/>
    <w:rsid w:val="00F27967"/>
    <w:rsid w:val="00F27AA7"/>
    <w:rsid w:val="00F30F28"/>
    <w:rsid w:val="00F31DBE"/>
    <w:rsid w:val="00F325F7"/>
    <w:rsid w:val="00F3288C"/>
    <w:rsid w:val="00F33135"/>
    <w:rsid w:val="00F34569"/>
    <w:rsid w:val="00F35379"/>
    <w:rsid w:val="00F36FE0"/>
    <w:rsid w:val="00F40A6D"/>
    <w:rsid w:val="00F41869"/>
    <w:rsid w:val="00F41F9C"/>
    <w:rsid w:val="00F4231B"/>
    <w:rsid w:val="00F45540"/>
    <w:rsid w:val="00F4646D"/>
    <w:rsid w:val="00F46A7A"/>
    <w:rsid w:val="00F4731D"/>
    <w:rsid w:val="00F47A7B"/>
    <w:rsid w:val="00F50A90"/>
    <w:rsid w:val="00F50AF1"/>
    <w:rsid w:val="00F511E4"/>
    <w:rsid w:val="00F52426"/>
    <w:rsid w:val="00F5381E"/>
    <w:rsid w:val="00F54D01"/>
    <w:rsid w:val="00F5541D"/>
    <w:rsid w:val="00F55892"/>
    <w:rsid w:val="00F60A6B"/>
    <w:rsid w:val="00F60D58"/>
    <w:rsid w:val="00F6251D"/>
    <w:rsid w:val="00F62F6E"/>
    <w:rsid w:val="00F65E3B"/>
    <w:rsid w:val="00F6669D"/>
    <w:rsid w:val="00F668CC"/>
    <w:rsid w:val="00F67C1B"/>
    <w:rsid w:val="00F711FB"/>
    <w:rsid w:val="00F715BA"/>
    <w:rsid w:val="00F71DB4"/>
    <w:rsid w:val="00F730B5"/>
    <w:rsid w:val="00F73ADB"/>
    <w:rsid w:val="00F73C10"/>
    <w:rsid w:val="00F7448F"/>
    <w:rsid w:val="00F7692B"/>
    <w:rsid w:val="00F7723E"/>
    <w:rsid w:val="00F774B2"/>
    <w:rsid w:val="00F80DAD"/>
    <w:rsid w:val="00F81EC4"/>
    <w:rsid w:val="00F839F7"/>
    <w:rsid w:val="00F83A9A"/>
    <w:rsid w:val="00F841BF"/>
    <w:rsid w:val="00F84FCF"/>
    <w:rsid w:val="00F86786"/>
    <w:rsid w:val="00F901F8"/>
    <w:rsid w:val="00F9228C"/>
    <w:rsid w:val="00F928BB"/>
    <w:rsid w:val="00F92CE7"/>
    <w:rsid w:val="00F9325F"/>
    <w:rsid w:val="00F9565A"/>
    <w:rsid w:val="00F95869"/>
    <w:rsid w:val="00F9650D"/>
    <w:rsid w:val="00F9713A"/>
    <w:rsid w:val="00F971EB"/>
    <w:rsid w:val="00FA2FAF"/>
    <w:rsid w:val="00FA415C"/>
    <w:rsid w:val="00FA57F7"/>
    <w:rsid w:val="00FA5948"/>
    <w:rsid w:val="00FA5B60"/>
    <w:rsid w:val="00FB009A"/>
    <w:rsid w:val="00FB13DD"/>
    <w:rsid w:val="00FB428D"/>
    <w:rsid w:val="00FB585B"/>
    <w:rsid w:val="00FB58EB"/>
    <w:rsid w:val="00FB5B98"/>
    <w:rsid w:val="00FB6388"/>
    <w:rsid w:val="00FB645D"/>
    <w:rsid w:val="00FB6684"/>
    <w:rsid w:val="00FC01C5"/>
    <w:rsid w:val="00FC086E"/>
    <w:rsid w:val="00FC1334"/>
    <w:rsid w:val="00FC13EB"/>
    <w:rsid w:val="00FC2574"/>
    <w:rsid w:val="00FC28C4"/>
    <w:rsid w:val="00FC34CA"/>
    <w:rsid w:val="00FC6073"/>
    <w:rsid w:val="00FC637B"/>
    <w:rsid w:val="00FC6714"/>
    <w:rsid w:val="00FC6F3F"/>
    <w:rsid w:val="00FC7ADD"/>
    <w:rsid w:val="00FD04FF"/>
    <w:rsid w:val="00FD073A"/>
    <w:rsid w:val="00FD1493"/>
    <w:rsid w:val="00FD354C"/>
    <w:rsid w:val="00FD3A8B"/>
    <w:rsid w:val="00FD67DB"/>
    <w:rsid w:val="00FD6E7D"/>
    <w:rsid w:val="00FD72EE"/>
    <w:rsid w:val="00FD7494"/>
    <w:rsid w:val="00FD7C4F"/>
    <w:rsid w:val="00FE0877"/>
    <w:rsid w:val="00FE2D9A"/>
    <w:rsid w:val="00FE405A"/>
    <w:rsid w:val="00FE40E5"/>
    <w:rsid w:val="00FE40EB"/>
    <w:rsid w:val="00FE41AF"/>
    <w:rsid w:val="00FE4555"/>
    <w:rsid w:val="00FE53D6"/>
    <w:rsid w:val="00FE58D8"/>
    <w:rsid w:val="00FE5E88"/>
    <w:rsid w:val="00FE616C"/>
    <w:rsid w:val="00FE61E5"/>
    <w:rsid w:val="00FE6778"/>
    <w:rsid w:val="00FE6F6B"/>
    <w:rsid w:val="00FF2DF0"/>
    <w:rsid w:val="00FF47E3"/>
    <w:rsid w:val="00FF5A11"/>
    <w:rsid w:val="00FF650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9B"/>
    <w:rPr>
      <w:rFonts w:ascii="Arial" w:eastAsia="Times New Roman" w:hAnsi="Arial" w:cs="Arial"/>
      <w:sz w:val="24"/>
      <w:szCs w:val="24"/>
      <w:lang w:val="en-GB"/>
    </w:rPr>
  </w:style>
  <w:style w:type="paragraph" w:styleId="Heading1">
    <w:name w:val="heading 1"/>
    <w:aliases w:val="Section,Section Heading,1 ghost,g,Staff,h1,TOC,Part,LetHead1,MisHead1,Normalhead1,l1,Normal Heading 1,1,Heading 1- no break,Volume Heading,Heading,A,II+,I,H1,Roman 14 B Heading"/>
    <w:basedOn w:val="Normal"/>
    <w:next w:val="Normal"/>
    <w:link w:val="Heading1Char"/>
    <w:qFormat/>
    <w:rsid w:val="008F6CB6"/>
    <w:pPr>
      <w:numPr>
        <w:numId w:val="3"/>
      </w:numPr>
      <w:suppressAutoHyphens/>
      <w:outlineLvl w:val="0"/>
    </w:pPr>
    <w:rPr>
      <w:b/>
      <w:bCs/>
      <w:lang w:val="en-US"/>
    </w:rPr>
  </w:style>
  <w:style w:type="paragraph" w:styleId="Heading2">
    <w:name w:val="heading 2"/>
    <w:aliases w:val="Major,Bijlage,Reset numbering,h2,T2,Heading Two,UNDERRUBRIK 1-2,2,sub-sect,21,sub-sect1,22,sub-sect2,23,sub-sect3,24,sub-sect4,25,sub-sect5,(1.1,1.2,1.3 etc),PARA2,PARA21,Major1,PARA22,Sub-section,H2,Título sec,A Head,1.1,Reset Numbering,h"/>
    <w:basedOn w:val="Normal"/>
    <w:next w:val="Normal"/>
    <w:qFormat/>
    <w:rsid w:val="008F6CB6"/>
    <w:pPr>
      <w:numPr>
        <w:ilvl w:val="1"/>
        <w:numId w:val="3"/>
      </w:numPr>
      <w:suppressAutoHyphens/>
      <w:outlineLvl w:val="1"/>
    </w:pPr>
    <w:rPr>
      <w:lang w:val="en-US"/>
    </w:rPr>
  </w:style>
  <w:style w:type="paragraph" w:styleId="Heading3">
    <w:name w:val="heading 3"/>
    <w:aliases w:val="Minor,Level 1 - 1,Section heading level 1,(Appendix Nbr),Sub Sub Heading,Section Heading Level 1,H3,h3,e3,3 bullet,h31,Titre 3,heading 3"/>
    <w:basedOn w:val="Normal"/>
    <w:next w:val="Normal"/>
    <w:qFormat/>
    <w:rsid w:val="008F6CB6"/>
    <w:pPr>
      <w:keepNext/>
      <w:widowControl w:val="0"/>
      <w:numPr>
        <w:ilvl w:val="2"/>
        <w:numId w:val="3"/>
      </w:numPr>
      <w:spacing w:after="260" w:line="260" w:lineRule="atLeast"/>
      <w:jc w:val="both"/>
      <w:outlineLvl w:val="2"/>
    </w:pPr>
    <w:rPr>
      <w:b/>
      <w:bCs/>
      <w:sz w:val="22"/>
      <w:szCs w:val="22"/>
    </w:rPr>
  </w:style>
  <w:style w:type="paragraph" w:styleId="Heading4">
    <w:name w:val="heading 4"/>
    <w:basedOn w:val="Normal"/>
    <w:next w:val="Normal"/>
    <w:qFormat/>
    <w:rsid w:val="008F6CB6"/>
    <w:pPr>
      <w:keepNext/>
      <w:widowControl w:val="0"/>
      <w:numPr>
        <w:ilvl w:val="3"/>
        <w:numId w:val="3"/>
      </w:numPr>
      <w:spacing w:after="260" w:line="260" w:lineRule="atLeast"/>
      <w:jc w:val="both"/>
      <w:outlineLvl w:val="3"/>
    </w:pPr>
    <w:rPr>
      <w:b/>
      <w:bCs/>
      <w:sz w:val="22"/>
      <w:szCs w:val="22"/>
    </w:rPr>
  </w:style>
  <w:style w:type="paragraph" w:styleId="Heading5">
    <w:name w:val="heading 5"/>
    <w:basedOn w:val="Normal"/>
    <w:next w:val="Normal"/>
    <w:qFormat/>
    <w:rsid w:val="008F6CB6"/>
    <w:pPr>
      <w:keepNext/>
      <w:widowControl w:val="0"/>
      <w:numPr>
        <w:ilvl w:val="4"/>
        <w:numId w:val="3"/>
      </w:numPr>
      <w:spacing w:after="260" w:line="260" w:lineRule="atLeast"/>
      <w:jc w:val="both"/>
      <w:outlineLvl w:val="4"/>
    </w:pPr>
    <w:rPr>
      <w:b/>
      <w:bCs/>
      <w:sz w:val="22"/>
      <w:szCs w:val="22"/>
    </w:rPr>
  </w:style>
  <w:style w:type="paragraph" w:styleId="Heading6">
    <w:name w:val="heading 6"/>
    <w:aliases w:val="Legal Level 1."/>
    <w:basedOn w:val="Normal"/>
    <w:next w:val="Normal"/>
    <w:qFormat/>
    <w:rsid w:val="008F6CB6"/>
    <w:pPr>
      <w:keepNext/>
      <w:widowControl w:val="0"/>
      <w:numPr>
        <w:ilvl w:val="5"/>
        <w:numId w:val="3"/>
      </w:numPr>
      <w:tabs>
        <w:tab w:val="left" w:pos="3119"/>
      </w:tabs>
      <w:spacing w:after="260" w:line="260" w:lineRule="atLeast"/>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870"/>
    <w:pPr>
      <w:tabs>
        <w:tab w:val="center" w:pos="4320"/>
        <w:tab w:val="right" w:pos="8640"/>
      </w:tabs>
    </w:pPr>
  </w:style>
  <w:style w:type="paragraph" w:styleId="PlainText">
    <w:name w:val="Plain Text"/>
    <w:basedOn w:val="Normal"/>
    <w:rsid w:val="00562870"/>
    <w:rPr>
      <w:rFonts w:ascii="Courier New" w:hAnsi="Courier New" w:cs="Courier New"/>
      <w:sz w:val="20"/>
      <w:szCs w:val="20"/>
      <w:lang w:val="en-US"/>
    </w:rPr>
  </w:style>
  <w:style w:type="paragraph" w:styleId="Footer">
    <w:name w:val="footer"/>
    <w:basedOn w:val="Normal"/>
    <w:rsid w:val="00562870"/>
    <w:pPr>
      <w:tabs>
        <w:tab w:val="center" w:pos="4320"/>
        <w:tab w:val="right" w:pos="8640"/>
      </w:tabs>
    </w:pPr>
  </w:style>
  <w:style w:type="paragraph" w:styleId="TOC1">
    <w:name w:val="toc 1"/>
    <w:basedOn w:val="Normal"/>
    <w:next w:val="Normal"/>
    <w:uiPriority w:val="39"/>
    <w:rsid w:val="003A5E3E"/>
    <w:pPr>
      <w:tabs>
        <w:tab w:val="left" w:pos="720"/>
        <w:tab w:val="right" w:leader="dot" w:pos="9158"/>
      </w:tabs>
      <w:spacing w:before="120" w:after="120"/>
      <w:ind w:left="720" w:hanging="720"/>
    </w:pPr>
    <w:rPr>
      <w:b/>
      <w:bCs/>
      <w:noProof/>
      <w:szCs w:val="20"/>
    </w:rPr>
  </w:style>
  <w:style w:type="character" w:styleId="Hyperlink">
    <w:name w:val="Hyperlink"/>
    <w:basedOn w:val="DefaultParagraphFont"/>
    <w:rsid w:val="00562870"/>
    <w:rPr>
      <w:color w:val="0000FF"/>
      <w:u w:val="single"/>
    </w:rPr>
  </w:style>
  <w:style w:type="paragraph" w:customStyle="1" w:styleId="heading10">
    <w:name w:val="heading1"/>
    <w:basedOn w:val="BodyTextIndent"/>
    <w:rsid w:val="00562870"/>
    <w:pPr>
      <w:spacing w:after="0"/>
      <w:ind w:left="0"/>
      <w:jc w:val="both"/>
    </w:pPr>
    <w:rPr>
      <w:lang w:val="en-US"/>
    </w:rPr>
  </w:style>
  <w:style w:type="paragraph" w:styleId="BodyTextIndent">
    <w:name w:val="Body Text Indent"/>
    <w:basedOn w:val="Normal"/>
    <w:rsid w:val="00562870"/>
    <w:pPr>
      <w:spacing w:after="120"/>
      <w:ind w:left="283"/>
    </w:pPr>
  </w:style>
  <w:style w:type="character" w:styleId="PageNumber">
    <w:name w:val="page number"/>
    <w:basedOn w:val="DefaultParagraphFont"/>
    <w:rsid w:val="00176E1D"/>
  </w:style>
  <w:style w:type="paragraph" w:styleId="BalloonText">
    <w:name w:val="Balloon Text"/>
    <w:basedOn w:val="Normal"/>
    <w:semiHidden/>
    <w:rsid w:val="00176E1D"/>
    <w:rPr>
      <w:rFonts w:ascii="Tahoma" w:hAnsi="Tahoma" w:cs="Tahoma"/>
      <w:sz w:val="16"/>
      <w:szCs w:val="16"/>
    </w:rPr>
  </w:style>
  <w:style w:type="paragraph" w:customStyle="1" w:styleId="ssPara1">
    <w:name w:val="ssPara1"/>
    <w:basedOn w:val="Normal"/>
    <w:rsid w:val="00AB5F57"/>
    <w:pPr>
      <w:spacing w:after="260" w:line="260" w:lineRule="atLeast"/>
      <w:jc w:val="both"/>
    </w:pPr>
    <w:rPr>
      <w:sz w:val="22"/>
      <w:szCs w:val="22"/>
      <w:lang w:eastAsia="en-GB"/>
    </w:rPr>
  </w:style>
  <w:style w:type="paragraph" w:customStyle="1" w:styleId="ssRestartNumber">
    <w:name w:val="ssRestartNumber"/>
    <w:basedOn w:val="Normal"/>
    <w:next w:val="ssPara1"/>
    <w:rsid w:val="004B57AC"/>
    <w:pPr>
      <w:tabs>
        <w:tab w:val="num" w:pos="360"/>
      </w:tabs>
      <w:spacing w:line="260" w:lineRule="atLeast"/>
      <w:ind w:left="360" w:hanging="360"/>
      <w:jc w:val="both"/>
    </w:pPr>
    <w:rPr>
      <w:color w:val="FF0000"/>
      <w:sz w:val="22"/>
      <w:szCs w:val="22"/>
    </w:rPr>
  </w:style>
  <w:style w:type="paragraph" w:customStyle="1" w:styleId="ssNoHeading1">
    <w:name w:val="ssNoHeading1"/>
    <w:basedOn w:val="Heading1"/>
    <w:rsid w:val="004B57AC"/>
    <w:pPr>
      <w:numPr>
        <w:ilvl w:val="1"/>
        <w:numId w:val="0"/>
      </w:numPr>
      <w:tabs>
        <w:tab w:val="num" w:pos="709"/>
      </w:tabs>
      <w:spacing w:after="260" w:line="260" w:lineRule="atLeast"/>
      <w:ind w:left="709" w:hanging="709"/>
      <w:jc w:val="both"/>
    </w:pPr>
    <w:rPr>
      <w:b w:val="0"/>
      <w:bCs w:val="0"/>
      <w:sz w:val="22"/>
      <w:szCs w:val="22"/>
      <w:lang w:val="en-GB"/>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semiHidden/>
    <w:rsid w:val="006B34F8"/>
    <w:pPr>
      <w:ind w:left="960" w:hanging="240"/>
    </w:pPr>
    <w:rPr>
      <w:sz w:val="18"/>
      <w:szCs w:val="18"/>
    </w:rPr>
  </w:style>
  <w:style w:type="paragraph" w:styleId="Index5">
    <w:name w:val="index 5"/>
    <w:basedOn w:val="Normal"/>
    <w:next w:val="Normal"/>
    <w:autoRedefine/>
    <w:semiHidden/>
    <w:rsid w:val="006B34F8"/>
    <w:pPr>
      <w:ind w:left="1200" w:hanging="240"/>
    </w:pPr>
    <w:rPr>
      <w:sz w:val="18"/>
      <w:szCs w:val="18"/>
    </w:rPr>
  </w:style>
  <w:style w:type="paragraph" w:styleId="Index6">
    <w:name w:val="index 6"/>
    <w:basedOn w:val="Normal"/>
    <w:next w:val="Normal"/>
    <w:autoRedefine/>
    <w:semiHidden/>
    <w:rsid w:val="006B34F8"/>
    <w:pPr>
      <w:ind w:left="1440" w:hanging="240"/>
    </w:pPr>
    <w:rPr>
      <w:sz w:val="18"/>
      <w:szCs w:val="18"/>
    </w:rPr>
  </w:style>
  <w:style w:type="paragraph" w:styleId="Index7">
    <w:name w:val="index 7"/>
    <w:basedOn w:val="Normal"/>
    <w:next w:val="Normal"/>
    <w:autoRedefine/>
    <w:semiHidden/>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semiHidden/>
    <w:rsid w:val="006B34F8"/>
    <w:pPr>
      <w:spacing w:before="240" w:after="120"/>
      <w:jc w:val="center"/>
    </w:pPr>
    <w:rPr>
      <w:b/>
      <w:bCs/>
      <w:sz w:val="26"/>
      <w:szCs w:val="26"/>
    </w:rPr>
  </w:style>
  <w:style w:type="paragraph" w:customStyle="1" w:styleId="Style1">
    <w:name w:val="Style1"/>
    <w:basedOn w:val="Index1"/>
    <w:next w:val="Normal"/>
    <w:rsid w:val="006B34F8"/>
    <w:rPr>
      <w:sz w:val="24"/>
      <w:szCs w:val="24"/>
    </w:rPr>
  </w:style>
  <w:style w:type="paragraph" w:customStyle="1" w:styleId="Header1">
    <w:name w:val="Header 1."/>
    <w:basedOn w:val="Heading1"/>
    <w:next w:val="ListNumber"/>
    <w:link w:val="Header1Char"/>
    <w:rsid w:val="006B34F8"/>
  </w:style>
  <w:style w:type="numbering" w:styleId="111111">
    <w:name w:val="Outline List 2"/>
    <w:basedOn w:val="NoList"/>
    <w:rsid w:val="00867F97"/>
    <w:pPr>
      <w:numPr>
        <w:numId w:val="1"/>
      </w:numPr>
    </w:pPr>
  </w:style>
  <w:style w:type="paragraph" w:styleId="ListNumber">
    <w:name w:val="List Number"/>
    <w:basedOn w:val="Header1"/>
    <w:rsid w:val="005711F7"/>
    <w:rPr>
      <w:b w:val="0"/>
    </w:rPr>
  </w:style>
  <w:style w:type="paragraph" w:styleId="BodyText">
    <w:name w:val="Body Text"/>
    <w:basedOn w:val="Normal"/>
    <w:rsid w:val="001C155C"/>
    <w:pPr>
      <w:spacing w:after="120"/>
    </w:pPr>
  </w:style>
  <w:style w:type="paragraph" w:styleId="BodyTextFirstIndent2">
    <w:name w:val="Body Text First Indent 2"/>
    <w:basedOn w:val="BodyTextIndent"/>
    <w:rsid w:val="00C01E9D"/>
    <w:pPr>
      <w:ind w:left="360" w:firstLine="210"/>
    </w:pPr>
  </w:style>
  <w:style w:type="character" w:styleId="LineNumber">
    <w:name w:val="line number"/>
    <w:basedOn w:val="DefaultParagraphFont"/>
    <w:rsid w:val="00C01E9D"/>
  </w:style>
  <w:style w:type="paragraph" w:styleId="ListNumber2">
    <w:name w:val="List Number 2"/>
    <w:basedOn w:val="Normal"/>
    <w:rsid w:val="00C01E9D"/>
  </w:style>
  <w:style w:type="paragraph" w:styleId="List">
    <w:name w:val="List"/>
    <w:basedOn w:val="Normal"/>
    <w:rsid w:val="00581653"/>
    <w:pPr>
      <w:ind w:left="360" w:hanging="360"/>
    </w:pPr>
  </w:style>
  <w:style w:type="paragraph" w:styleId="List2">
    <w:name w:val="List 2"/>
    <w:basedOn w:val="Normal"/>
    <w:rsid w:val="00581653"/>
    <w:pPr>
      <w:ind w:left="720" w:hanging="360"/>
    </w:pPr>
  </w:style>
  <w:style w:type="paragraph" w:styleId="TOC2">
    <w:name w:val="toc 2"/>
    <w:basedOn w:val="Normal"/>
    <w:next w:val="Normal"/>
    <w:semiHidden/>
    <w:rsid w:val="001A6709"/>
    <w:pPr>
      <w:tabs>
        <w:tab w:val="left" w:pos="1440"/>
        <w:tab w:val="right" w:leader="dot" w:pos="9163"/>
      </w:tabs>
      <w:spacing w:before="120"/>
      <w:ind w:left="720"/>
    </w:pPr>
    <w:rPr>
      <w:rFonts w:ascii="Arial Bold" w:hAnsi="Arial Bold"/>
      <w:b/>
      <w:iCs/>
      <w:szCs w:val="20"/>
    </w:rPr>
  </w:style>
  <w:style w:type="paragraph" w:styleId="TOC3">
    <w:name w:val="toc 3"/>
    <w:basedOn w:val="Normal"/>
    <w:next w:val="Normal"/>
    <w:autoRedefine/>
    <w:semiHidden/>
    <w:rsid w:val="00914E19"/>
    <w:pPr>
      <w:ind w:left="480"/>
    </w:pPr>
    <w:rPr>
      <w:sz w:val="20"/>
      <w:szCs w:val="20"/>
    </w:rPr>
  </w:style>
  <w:style w:type="paragraph" w:styleId="TOC4">
    <w:name w:val="toc 4"/>
    <w:basedOn w:val="Normal"/>
    <w:next w:val="Normal"/>
    <w:autoRedefine/>
    <w:semiHidden/>
    <w:rsid w:val="00914E19"/>
    <w:pPr>
      <w:ind w:left="720"/>
    </w:pPr>
    <w:rPr>
      <w:sz w:val="20"/>
      <w:szCs w:val="20"/>
    </w:rPr>
  </w:style>
  <w:style w:type="paragraph" w:styleId="TOC5">
    <w:name w:val="toc 5"/>
    <w:basedOn w:val="Normal"/>
    <w:next w:val="Normal"/>
    <w:autoRedefine/>
    <w:semiHidden/>
    <w:rsid w:val="00914E19"/>
    <w:pPr>
      <w:ind w:left="960"/>
    </w:pPr>
    <w:rPr>
      <w:sz w:val="20"/>
      <w:szCs w:val="20"/>
    </w:rPr>
  </w:style>
  <w:style w:type="paragraph" w:styleId="TOC6">
    <w:name w:val="toc 6"/>
    <w:basedOn w:val="Normal"/>
    <w:next w:val="Normal"/>
    <w:autoRedefine/>
    <w:semiHidden/>
    <w:rsid w:val="00914E19"/>
    <w:pPr>
      <w:ind w:left="1200"/>
    </w:pPr>
    <w:rPr>
      <w:sz w:val="20"/>
      <w:szCs w:val="20"/>
    </w:rPr>
  </w:style>
  <w:style w:type="paragraph" w:styleId="TOC7">
    <w:name w:val="toc 7"/>
    <w:basedOn w:val="Normal"/>
    <w:next w:val="Normal"/>
    <w:autoRedefine/>
    <w:semiHidden/>
    <w:rsid w:val="00914E19"/>
    <w:pPr>
      <w:ind w:left="1440"/>
    </w:pPr>
    <w:rPr>
      <w:sz w:val="20"/>
      <w:szCs w:val="20"/>
    </w:rPr>
  </w:style>
  <w:style w:type="paragraph" w:styleId="TOC8">
    <w:name w:val="toc 8"/>
    <w:basedOn w:val="Normal"/>
    <w:next w:val="Normal"/>
    <w:autoRedefine/>
    <w:semiHidden/>
    <w:rsid w:val="00914E19"/>
    <w:pPr>
      <w:ind w:left="1680"/>
    </w:pPr>
    <w:rPr>
      <w:sz w:val="20"/>
      <w:szCs w:val="20"/>
    </w:rPr>
  </w:style>
  <w:style w:type="paragraph" w:styleId="TOC9">
    <w:name w:val="toc 9"/>
    <w:basedOn w:val="Normal"/>
    <w:next w:val="Normal"/>
    <w:autoRedefine/>
    <w:semiHidden/>
    <w:rsid w:val="00914E19"/>
    <w:pPr>
      <w:ind w:left="1920"/>
    </w:pPr>
    <w:rPr>
      <w:sz w:val="20"/>
      <w:szCs w:val="20"/>
    </w:rPr>
  </w:style>
  <w:style w:type="paragraph" w:styleId="NormalWeb">
    <w:name w:val="Normal (Web)"/>
    <w:basedOn w:val="Normal"/>
    <w:rsid w:val="00FE6F6B"/>
    <w:pPr>
      <w:spacing w:after="100" w:afterAutospacing="1"/>
    </w:pPr>
    <w:rPr>
      <w:rFonts w:ascii="Verdana" w:hAnsi="Verdana"/>
      <w:lang w:val="en-US"/>
    </w:rPr>
  </w:style>
  <w:style w:type="character" w:styleId="CommentReference">
    <w:name w:val="annotation reference"/>
    <w:basedOn w:val="DefaultParagraphFont"/>
    <w:semiHidden/>
    <w:rsid w:val="000C3411"/>
    <w:rPr>
      <w:sz w:val="16"/>
      <w:szCs w:val="16"/>
    </w:rPr>
  </w:style>
  <w:style w:type="paragraph" w:styleId="CommentText">
    <w:name w:val="annotation text"/>
    <w:basedOn w:val="Normal"/>
    <w:semiHidden/>
    <w:rsid w:val="000C3411"/>
    <w:rPr>
      <w:sz w:val="20"/>
      <w:szCs w:val="20"/>
    </w:rPr>
  </w:style>
  <w:style w:type="paragraph" w:styleId="CommentSubject">
    <w:name w:val="annotation subject"/>
    <w:basedOn w:val="CommentText"/>
    <w:next w:val="CommentText"/>
    <w:semiHidden/>
    <w:rsid w:val="000C3411"/>
    <w:rPr>
      <w:b/>
      <w:bCs/>
    </w:rPr>
  </w:style>
  <w:style w:type="paragraph" w:customStyle="1" w:styleId="sspara10">
    <w:name w:val="sspara1"/>
    <w:basedOn w:val="Normal"/>
    <w:rsid w:val="0060618D"/>
    <w:pPr>
      <w:spacing w:after="260" w:line="260" w:lineRule="atLeast"/>
      <w:jc w:val="both"/>
    </w:pPr>
    <w:rPr>
      <w:sz w:val="22"/>
      <w:szCs w:val="22"/>
      <w:lang w:val="en-US"/>
    </w:rPr>
  </w:style>
  <w:style w:type="paragraph" w:customStyle="1" w:styleId="Style2">
    <w:name w:val="Style2"/>
    <w:basedOn w:val="Heading1"/>
    <w:rsid w:val="0046044A"/>
    <w:pPr>
      <w:numPr>
        <w:ilvl w:val="2"/>
        <w:numId w:val="2"/>
      </w:numPr>
    </w:pPr>
    <w:rPr>
      <w:sz w:val="28"/>
      <w:szCs w:val="28"/>
    </w:rPr>
  </w:style>
  <w:style w:type="paragraph" w:customStyle="1" w:styleId="Style3">
    <w:name w:val="Style3"/>
    <w:basedOn w:val="Heading1"/>
    <w:rsid w:val="0046044A"/>
    <w:pPr>
      <w:numPr>
        <w:numId w:val="0"/>
      </w:numPr>
      <w:tabs>
        <w:tab w:val="num" w:pos="900"/>
      </w:tabs>
      <w:ind w:left="900" w:hanging="540"/>
    </w:pPr>
    <w:rPr>
      <w:sz w:val="28"/>
    </w:rPr>
  </w:style>
  <w:style w:type="paragraph" w:customStyle="1" w:styleId="Style4">
    <w:name w:val="Style4"/>
    <w:basedOn w:val="Heading1"/>
    <w:rsid w:val="0046044A"/>
    <w:pPr>
      <w:numPr>
        <w:numId w:val="0"/>
      </w:numPr>
      <w:tabs>
        <w:tab w:val="num" w:pos="900"/>
      </w:tabs>
      <w:ind w:left="900" w:hanging="540"/>
    </w:pPr>
    <w:rPr>
      <w:sz w:val="28"/>
    </w:rPr>
  </w:style>
  <w:style w:type="paragraph" w:customStyle="1" w:styleId="StylessPara112ptLeft025Firstline025">
    <w:name w:val="Style ssPara1 + 12 pt Left:  0.25&quot; First line:  0.25&quot;"/>
    <w:basedOn w:val="ssPara1"/>
    <w:rsid w:val="00C564CC"/>
    <w:pPr>
      <w:ind w:left="720"/>
    </w:pPr>
    <w:rPr>
      <w:rFonts w:cs="Times New Roman"/>
      <w:sz w:val="24"/>
      <w:szCs w:val="20"/>
    </w:rPr>
  </w:style>
  <w:style w:type="table" w:styleId="TableGrid">
    <w:name w:val="Table Grid"/>
    <w:basedOn w:val="TableNormal"/>
    <w:rsid w:val="005F3E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EB5"/>
    <w:pPr>
      <w:autoSpaceDE w:val="0"/>
      <w:autoSpaceDN w:val="0"/>
      <w:adjustRightInd w:val="0"/>
    </w:pPr>
    <w:rPr>
      <w:rFonts w:ascii="TimesNewRoman" w:eastAsia="Times New Roman" w:hAnsi="TimesNewRoman"/>
    </w:r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customStyle="1" w:styleId="Heading-1">
    <w:name w:val="Heading-1"/>
    <w:basedOn w:val="Normal"/>
    <w:rsid w:val="001A6709"/>
    <w:pPr>
      <w:tabs>
        <w:tab w:val="num" w:pos="360"/>
      </w:tabs>
      <w:spacing w:before="360" w:after="120"/>
      <w:ind w:left="360" w:hanging="360"/>
      <w:outlineLvl w:val="0"/>
    </w:pPr>
    <w:rPr>
      <w:rFonts w:ascii="Arial Bold" w:hAnsi="Arial Bold"/>
      <w:b/>
      <w:bCs/>
      <w:kern w:val="24"/>
      <w:szCs w:val="32"/>
      <w:lang w:val="en-US"/>
    </w:rPr>
  </w:style>
  <w:style w:type="paragraph" w:customStyle="1" w:styleId="Heading-2">
    <w:name w:val="Heading-2"/>
    <w:basedOn w:val="Heading-1"/>
    <w:rsid w:val="001A6709"/>
    <w:pPr>
      <w:tabs>
        <w:tab w:val="clear" w:pos="360"/>
        <w:tab w:val="left" w:pos="1080"/>
      </w:tabs>
      <w:spacing w:before="120"/>
      <w:ind w:left="1080" w:hanging="720"/>
      <w:jc w:val="both"/>
    </w:pPr>
    <w:rPr>
      <w:rFonts w:ascii="Arial" w:hAnsi="Arial"/>
      <w:bCs w:val="0"/>
      <w:lang w:val="en-GB"/>
    </w:rPr>
  </w:style>
  <w:style w:type="paragraph" w:customStyle="1" w:styleId="StyleJustifiedAfter6pt">
    <w:name w:val="Style Justified After:  6 pt"/>
    <w:basedOn w:val="Normal"/>
    <w:rsid w:val="008F6CB6"/>
    <w:pPr>
      <w:jc w:val="both"/>
    </w:pPr>
  </w:style>
  <w:style w:type="paragraph" w:customStyle="1" w:styleId="OutlineNumberedlvl2">
    <w:name w:val="Outline Numbered lvl 2"/>
    <w:basedOn w:val="Heading2"/>
    <w:rsid w:val="00203E01"/>
    <w:rPr>
      <w:bCs/>
    </w:rPr>
  </w:style>
  <w:style w:type="paragraph" w:styleId="FootnoteText">
    <w:name w:val="footnote text"/>
    <w:aliases w:val="ALTS FOOTNOTE,DTE-Voetnoottekst,Footnote Text Char"/>
    <w:basedOn w:val="Normal"/>
    <w:link w:val="FootnoteTextChar1"/>
    <w:uiPriority w:val="99"/>
    <w:semiHidden/>
    <w:rsid w:val="00813424"/>
    <w:rPr>
      <w:sz w:val="20"/>
      <w:szCs w:val="20"/>
    </w:rPr>
  </w:style>
  <w:style w:type="character" w:styleId="FootnoteReference">
    <w:name w:val="footnote reference"/>
    <w:basedOn w:val="DefaultParagraphFont"/>
    <w:uiPriority w:val="99"/>
    <w:semiHidden/>
    <w:rsid w:val="00813424"/>
    <w:rPr>
      <w:vertAlign w:val="superscript"/>
    </w:rPr>
  </w:style>
  <w:style w:type="paragraph" w:customStyle="1" w:styleId="Level3PK">
    <w:name w:val="Level 3 PK"/>
    <w:basedOn w:val="Heading3"/>
    <w:autoRedefine/>
    <w:rsid w:val="00813424"/>
    <w:pPr>
      <w:keepNext w:val="0"/>
      <w:widowControl/>
      <w:numPr>
        <w:ilvl w:val="0"/>
        <w:numId w:val="0"/>
      </w:numPr>
      <w:tabs>
        <w:tab w:val="num" w:pos="2160"/>
      </w:tabs>
      <w:suppressAutoHyphens/>
      <w:ind w:left="2160" w:hanging="720"/>
    </w:pPr>
    <w:rPr>
      <w:b w:val="0"/>
      <w:bCs w:val="0"/>
      <w:sz w:val="24"/>
      <w:szCs w:val="24"/>
    </w:rPr>
  </w:style>
  <w:style w:type="character" w:customStyle="1" w:styleId="Heading1Char">
    <w:name w:val="Heading 1 Char"/>
    <w:aliases w:val="Section Char,Section Heading Char,1 ghost Char,g Char,Staff Char,h1 Char,TOC Char,Part Char,LetHead1 Char,MisHead1 Char,Normalhead1 Char,l1 Char,Normal Heading 1 Char,1 Char,Heading 1- no break Char,Volume Heading Char,Heading Char,A Char"/>
    <w:basedOn w:val="DefaultParagraphFont"/>
    <w:link w:val="Heading1"/>
    <w:rsid w:val="007409A9"/>
    <w:rPr>
      <w:rFonts w:ascii="Arial" w:eastAsia="Times New Roman" w:hAnsi="Arial" w:cs="Arial"/>
      <w:b/>
      <w:bCs/>
      <w:sz w:val="24"/>
      <w:szCs w:val="24"/>
    </w:rPr>
  </w:style>
  <w:style w:type="character" w:customStyle="1" w:styleId="Header1Char">
    <w:name w:val="Header 1. Char"/>
    <w:basedOn w:val="Heading1Char"/>
    <w:link w:val="Header1"/>
    <w:rsid w:val="007409A9"/>
  </w:style>
  <w:style w:type="paragraph" w:customStyle="1" w:styleId="style30">
    <w:name w:val="style3"/>
    <w:basedOn w:val="Normal"/>
    <w:rsid w:val="002157AE"/>
    <w:pPr>
      <w:spacing w:before="100" w:beforeAutospacing="1" w:after="100" w:afterAutospacing="1"/>
    </w:pPr>
    <w:rPr>
      <w:color w:val="666666"/>
      <w:sz w:val="21"/>
      <w:szCs w:val="21"/>
      <w:lang w:val="en-US"/>
    </w:rPr>
  </w:style>
  <w:style w:type="character" w:customStyle="1" w:styleId="label18">
    <w:name w:val="label18"/>
    <w:basedOn w:val="DefaultParagraphFont"/>
    <w:rsid w:val="001958C1"/>
  </w:style>
  <w:style w:type="table" w:styleId="TableContemporary">
    <w:name w:val="Table Contemporary"/>
    <w:basedOn w:val="TableNormal"/>
    <w:rsid w:val="001958C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CE1E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5B6B"/>
    <w:pPr>
      <w:ind w:left="720"/>
      <w:contextualSpacing/>
    </w:pPr>
  </w:style>
  <w:style w:type="paragraph" w:customStyle="1" w:styleId="StyleHeading2ComplexBold">
    <w:name w:val="Style Heading 2 + (Complex) Bold"/>
    <w:basedOn w:val="Heading2"/>
    <w:rsid w:val="00553E7D"/>
    <w:rPr>
      <w:bCs/>
    </w:rPr>
  </w:style>
  <w:style w:type="character" w:customStyle="1" w:styleId="FootnoteTextChar1">
    <w:name w:val="Footnote Text Char1"/>
    <w:aliases w:val="ALTS FOOTNOTE Char,DTE-Voetnoottekst Char,Footnote Text Char Char"/>
    <w:basedOn w:val="DefaultParagraphFont"/>
    <w:link w:val="FootnoteText"/>
    <w:uiPriority w:val="99"/>
    <w:semiHidden/>
    <w:locked/>
    <w:rsid w:val="000B1658"/>
    <w:rPr>
      <w:rFonts w:ascii="Arial" w:eastAsia="Times New Roman" w:hAnsi="Arial" w:cs="Arial"/>
      <w:lang w:val="en-GB"/>
    </w:rPr>
  </w:style>
</w:styles>
</file>

<file path=word/webSettings.xml><?xml version="1.0" encoding="utf-8"?>
<w:webSettings xmlns:r="http://schemas.openxmlformats.org/officeDocument/2006/relationships" xmlns:w="http://schemas.openxmlformats.org/wordprocessingml/2006/main">
  <w:divs>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47149468">
      <w:bodyDiv w:val="1"/>
      <w:marLeft w:val="0"/>
      <w:marRight w:val="0"/>
      <w:marTop w:val="0"/>
      <w:marBottom w:val="0"/>
      <w:divBdr>
        <w:top w:val="none" w:sz="0" w:space="0" w:color="auto"/>
        <w:left w:val="none" w:sz="0" w:space="0" w:color="auto"/>
        <w:bottom w:val="none" w:sz="0" w:space="0" w:color="auto"/>
        <w:right w:val="none" w:sz="0" w:space="0" w:color="auto"/>
      </w:divBdr>
      <w:divsChild>
        <w:div w:id="641467799">
          <w:marLeft w:val="0"/>
          <w:marRight w:val="0"/>
          <w:marTop w:val="0"/>
          <w:marBottom w:val="0"/>
          <w:divBdr>
            <w:top w:val="none" w:sz="0" w:space="0" w:color="auto"/>
            <w:left w:val="none" w:sz="0" w:space="0" w:color="auto"/>
            <w:bottom w:val="none" w:sz="0" w:space="0" w:color="auto"/>
            <w:right w:val="none" w:sz="0" w:space="0" w:color="auto"/>
          </w:divBdr>
          <w:divsChild>
            <w:div w:id="2111702985">
              <w:marLeft w:val="0"/>
              <w:marRight w:val="0"/>
              <w:marTop w:val="0"/>
              <w:marBottom w:val="0"/>
              <w:divBdr>
                <w:top w:val="none" w:sz="0" w:space="0" w:color="auto"/>
                <w:left w:val="none" w:sz="0" w:space="0" w:color="auto"/>
                <w:bottom w:val="none" w:sz="0" w:space="0" w:color="auto"/>
                <w:right w:val="none" w:sz="0" w:space="0" w:color="auto"/>
              </w:divBdr>
              <w:divsChild>
                <w:div w:id="2015452066">
                  <w:marLeft w:val="0"/>
                  <w:marRight w:val="0"/>
                  <w:marTop w:val="0"/>
                  <w:marBottom w:val="0"/>
                  <w:divBdr>
                    <w:top w:val="none" w:sz="0" w:space="0" w:color="auto"/>
                    <w:left w:val="none" w:sz="0" w:space="0" w:color="auto"/>
                    <w:bottom w:val="none" w:sz="0" w:space="0" w:color="auto"/>
                    <w:right w:val="none" w:sz="0" w:space="0" w:color="auto"/>
                  </w:divBdr>
                  <w:divsChild>
                    <w:div w:id="228077117">
                      <w:marLeft w:val="0"/>
                      <w:marRight w:val="0"/>
                      <w:marTop w:val="0"/>
                      <w:marBottom w:val="0"/>
                      <w:divBdr>
                        <w:top w:val="none" w:sz="0" w:space="0" w:color="auto"/>
                        <w:left w:val="single" w:sz="6" w:space="7" w:color="C4C4C4"/>
                        <w:bottom w:val="none" w:sz="0" w:space="0" w:color="auto"/>
                        <w:right w:val="single" w:sz="6" w:space="7" w:color="C4C4C4"/>
                      </w:divBdr>
                      <w:divsChild>
                        <w:div w:id="2057658031">
                          <w:marLeft w:val="0"/>
                          <w:marRight w:val="0"/>
                          <w:marTop w:val="0"/>
                          <w:marBottom w:val="0"/>
                          <w:divBdr>
                            <w:top w:val="none" w:sz="0" w:space="0" w:color="auto"/>
                            <w:left w:val="none" w:sz="0" w:space="0" w:color="auto"/>
                            <w:bottom w:val="none" w:sz="0" w:space="0" w:color="auto"/>
                            <w:right w:val="none" w:sz="0" w:space="0" w:color="auto"/>
                          </w:divBdr>
                          <w:divsChild>
                            <w:div w:id="1226649857">
                              <w:marLeft w:val="0"/>
                              <w:marRight w:val="0"/>
                              <w:marTop w:val="0"/>
                              <w:marBottom w:val="0"/>
                              <w:divBdr>
                                <w:top w:val="none" w:sz="0" w:space="0" w:color="auto"/>
                                <w:left w:val="none" w:sz="0" w:space="0" w:color="auto"/>
                                <w:bottom w:val="none" w:sz="0" w:space="0" w:color="auto"/>
                                <w:right w:val="none" w:sz="0" w:space="0" w:color="auto"/>
                              </w:divBdr>
                              <w:divsChild>
                                <w:div w:id="688869447">
                                  <w:marLeft w:val="0"/>
                                  <w:marRight w:val="0"/>
                                  <w:marTop w:val="0"/>
                                  <w:marBottom w:val="240"/>
                                  <w:divBdr>
                                    <w:top w:val="none" w:sz="0" w:space="0" w:color="auto"/>
                                    <w:left w:val="none" w:sz="0" w:space="0" w:color="auto"/>
                                    <w:bottom w:val="none" w:sz="0" w:space="0" w:color="auto"/>
                                    <w:right w:val="none" w:sz="0" w:space="0" w:color="auto"/>
                                  </w:divBdr>
                                  <w:divsChild>
                                    <w:div w:id="58285911">
                                      <w:marLeft w:val="0"/>
                                      <w:marRight w:val="0"/>
                                      <w:marTop w:val="0"/>
                                      <w:marBottom w:val="0"/>
                                      <w:divBdr>
                                        <w:top w:val="none" w:sz="0" w:space="0" w:color="auto"/>
                                        <w:left w:val="none" w:sz="0" w:space="0" w:color="auto"/>
                                        <w:bottom w:val="none" w:sz="0" w:space="0" w:color="auto"/>
                                        <w:right w:val="none" w:sz="0" w:space="0" w:color="auto"/>
                                      </w:divBdr>
                                      <w:divsChild>
                                        <w:div w:id="615915152">
                                          <w:marLeft w:val="0"/>
                                          <w:marRight w:val="0"/>
                                          <w:marTop w:val="0"/>
                                          <w:marBottom w:val="0"/>
                                          <w:divBdr>
                                            <w:top w:val="none" w:sz="0" w:space="0" w:color="auto"/>
                                            <w:left w:val="none" w:sz="0" w:space="0" w:color="auto"/>
                                            <w:bottom w:val="none" w:sz="0" w:space="0" w:color="auto"/>
                                            <w:right w:val="none" w:sz="0" w:space="0" w:color="auto"/>
                                          </w:divBdr>
                                          <w:divsChild>
                                            <w:div w:id="981352323">
                                              <w:marLeft w:val="0"/>
                                              <w:marRight w:val="0"/>
                                              <w:marTop w:val="0"/>
                                              <w:marBottom w:val="0"/>
                                              <w:divBdr>
                                                <w:top w:val="none" w:sz="0" w:space="0" w:color="auto"/>
                                                <w:left w:val="none" w:sz="0" w:space="0" w:color="auto"/>
                                                <w:bottom w:val="none" w:sz="0" w:space="0" w:color="auto"/>
                                                <w:right w:val="none" w:sz="0" w:space="0" w:color="auto"/>
                                              </w:divBdr>
                                              <w:divsChild>
                                                <w:div w:id="1224638264">
                                                  <w:marLeft w:val="0"/>
                                                  <w:marRight w:val="0"/>
                                                  <w:marTop w:val="0"/>
                                                  <w:marBottom w:val="240"/>
                                                  <w:divBdr>
                                                    <w:top w:val="none" w:sz="0" w:space="0" w:color="auto"/>
                                                    <w:left w:val="none" w:sz="0" w:space="0" w:color="auto"/>
                                                    <w:bottom w:val="none" w:sz="0" w:space="0" w:color="auto"/>
                                                    <w:right w:val="none" w:sz="0" w:space="0" w:color="auto"/>
                                                  </w:divBdr>
                                                  <w:divsChild>
                                                    <w:div w:id="659962229">
                                                      <w:marLeft w:val="0"/>
                                                      <w:marRight w:val="0"/>
                                                      <w:marTop w:val="0"/>
                                                      <w:marBottom w:val="0"/>
                                                      <w:divBdr>
                                                        <w:top w:val="none" w:sz="0" w:space="0" w:color="auto"/>
                                                        <w:left w:val="none" w:sz="0" w:space="0" w:color="auto"/>
                                                        <w:bottom w:val="none" w:sz="0" w:space="0" w:color="auto"/>
                                                        <w:right w:val="none" w:sz="0" w:space="0" w:color="auto"/>
                                                      </w:divBdr>
                                                      <w:divsChild>
                                                        <w:div w:id="131302348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3579">
      <w:bodyDiv w:val="1"/>
      <w:marLeft w:val="0"/>
      <w:marRight w:val="0"/>
      <w:marTop w:val="0"/>
      <w:marBottom w:val="0"/>
      <w:divBdr>
        <w:top w:val="none" w:sz="0" w:space="0" w:color="auto"/>
        <w:left w:val="none" w:sz="0" w:space="0" w:color="auto"/>
        <w:bottom w:val="none" w:sz="0" w:space="0" w:color="auto"/>
        <w:right w:val="none" w:sz="0" w:space="0" w:color="auto"/>
      </w:divBdr>
    </w:div>
    <w:div w:id="284890908">
      <w:marLeft w:val="0"/>
      <w:marRight w:val="0"/>
      <w:marTop w:val="0"/>
      <w:marBottom w:val="0"/>
      <w:divBdr>
        <w:top w:val="none" w:sz="0" w:space="0" w:color="auto"/>
        <w:left w:val="none" w:sz="0" w:space="0" w:color="auto"/>
        <w:bottom w:val="none" w:sz="0" w:space="0" w:color="auto"/>
        <w:right w:val="none" w:sz="0" w:space="0" w:color="auto"/>
      </w:divBdr>
    </w:div>
    <w:div w:id="316961449">
      <w:marLeft w:val="0"/>
      <w:marRight w:val="0"/>
      <w:marTop w:val="0"/>
      <w:marBottom w:val="0"/>
      <w:divBdr>
        <w:top w:val="none" w:sz="0" w:space="0" w:color="auto"/>
        <w:left w:val="none" w:sz="0" w:space="0" w:color="auto"/>
        <w:bottom w:val="none" w:sz="0" w:space="0" w:color="auto"/>
        <w:right w:val="none" w:sz="0" w:space="0" w:color="auto"/>
      </w:divBdr>
    </w:div>
    <w:div w:id="326790485">
      <w:marLeft w:val="0"/>
      <w:marRight w:val="0"/>
      <w:marTop w:val="0"/>
      <w:marBottom w:val="0"/>
      <w:divBdr>
        <w:top w:val="none" w:sz="0" w:space="0" w:color="auto"/>
        <w:left w:val="none" w:sz="0" w:space="0" w:color="auto"/>
        <w:bottom w:val="none" w:sz="0" w:space="0" w:color="auto"/>
        <w:right w:val="none" w:sz="0" w:space="0" w:color="auto"/>
      </w:divBdr>
    </w:div>
    <w:div w:id="336422773">
      <w:marLeft w:val="0"/>
      <w:marRight w:val="0"/>
      <w:marTop w:val="0"/>
      <w:marBottom w:val="0"/>
      <w:divBdr>
        <w:top w:val="none" w:sz="0" w:space="0" w:color="auto"/>
        <w:left w:val="none" w:sz="0" w:space="0" w:color="auto"/>
        <w:bottom w:val="none" w:sz="0" w:space="0" w:color="auto"/>
        <w:right w:val="none" w:sz="0" w:space="0" w:color="auto"/>
      </w:divBdr>
    </w:div>
    <w:div w:id="368847843">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4857951">
      <w:bodyDiv w:val="1"/>
      <w:marLeft w:val="0"/>
      <w:marRight w:val="0"/>
      <w:marTop w:val="0"/>
      <w:marBottom w:val="0"/>
      <w:divBdr>
        <w:top w:val="none" w:sz="0" w:space="0" w:color="auto"/>
        <w:left w:val="none" w:sz="0" w:space="0" w:color="auto"/>
        <w:bottom w:val="none" w:sz="0" w:space="0" w:color="auto"/>
        <w:right w:val="none" w:sz="0" w:space="0" w:color="auto"/>
      </w:divBdr>
      <w:divsChild>
        <w:div w:id="437413288">
          <w:marLeft w:val="0"/>
          <w:marRight w:val="0"/>
          <w:marTop w:val="0"/>
          <w:marBottom w:val="0"/>
          <w:divBdr>
            <w:top w:val="none" w:sz="0" w:space="0" w:color="auto"/>
            <w:left w:val="none" w:sz="0" w:space="0" w:color="auto"/>
            <w:bottom w:val="none" w:sz="0" w:space="0" w:color="auto"/>
            <w:right w:val="none" w:sz="0" w:space="0" w:color="auto"/>
          </w:divBdr>
          <w:divsChild>
            <w:div w:id="1568303229">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0"/>
                  <w:marRight w:val="0"/>
                  <w:marTop w:val="0"/>
                  <w:marBottom w:val="0"/>
                  <w:divBdr>
                    <w:top w:val="none" w:sz="0" w:space="0" w:color="auto"/>
                    <w:left w:val="none" w:sz="0" w:space="0" w:color="auto"/>
                    <w:bottom w:val="none" w:sz="0" w:space="0" w:color="auto"/>
                    <w:right w:val="none" w:sz="0" w:space="0" w:color="auto"/>
                  </w:divBdr>
                  <w:divsChild>
                    <w:div w:id="9837142">
                      <w:marLeft w:val="0"/>
                      <w:marRight w:val="0"/>
                      <w:marTop w:val="0"/>
                      <w:marBottom w:val="0"/>
                      <w:divBdr>
                        <w:top w:val="none" w:sz="0" w:space="0" w:color="auto"/>
                        <w:left w:val="single" w:sz="6" w:space="7" w:color="C4C4C4"/>
                        <w:bottom w:val="none" w:sz="0" w:space="0" w:color="auto"/>
                        <w:right w:val="single" w:sz="6" w:space="7" w:color="C4C4C4"/>
                      </w:divBdr>
                      <w:divsChild>
                        <w:div w:id="933049968">
                          <w:marLeft w:val="0"/>
                          <w:marRight w:val="0"/>
                          <w:marTop w:val="0"/>
                          <w:marBottom w:val="0"/>
                          <w:divBdr>
                            <w:top w:val="none" w:sz="0" w:space="0" w:color="auto"/>
                            <w:left w:val="none" w:sz="0" w:space="0" w:color="auto"/>
                            <w:bottom w:val="none" w:sz="0" w:space="0" w:color="auto"/>
                            <w:right w:val="none" w:sz="0" w:space="0" w:color="auto"/>
                          </w:divBdr>
                          <w:divsChild>
                            <w:div w:id="1084883296">
                              <w:marLeft w:val="0"/>
                              <w:marRight w:val="0"/>
                              <w:marTop w:val="0"/>
                              <w:marBottom w:val="0"/>
                              <w:divBdr>
                                <w:top w:val="none" w:sz="0" w:space="0" w:color="auto"/>
                                <w:left w:val="none" w:sz="0" w:space="0" w:color="auto"/>
                                <w:bottom w:val="none" w:sz="0" w:space="0" w:color="auto"/>
                                <w:right w:val="none" w:sz="0" w:space="0" w:color="auto"/>
                              </w:divBdr>
                              <w:divsChild>
                                <w:div w:id="197395271">
                                  <w:marLeft w:val="0"/>
                                  <w:marRight w:val="0"/>
                                  <w:marTop w:val="0"/>
                                  <w:marBottom w:val="240"/>
                                  <w:divBdr>
                                    <w:top w:val="none" w:sz="0" w:space="0" w:color="auto"/>
                                    <w:left w:val="none" w:sz="0" w:space="0" w:color="auto"/>
                                    <w:bottom w:val="none" w:sz="0" w:space="0" w:color="auto"/>
                                    <w:right w:val="none" w:sz="0" w:space="0" w:color="auto"/>
                                  </w:divBdr>
                                  <w:divsChild>
                                    <w:div w:id="1616520055">
                                      <w:marLeft w:val="0"/>
                                      <w:marRight w:val="0"/>
                                      <w:marTop w:val="0"/>
                                      <w:marBottom w:val="0"/>
                                      <w:divBdr>
                                        <w:top w:val="none" w:sz="0" w:space="0" w:color="auto"/>
                                        <w:left w:val="none" w:sz="0" w:space="0" w:color="auto"/>
                                        <w:bottom w:val="none" w:sz="0" w:space="0" w:color="auto"/>
                                        <w:right w:val="none" w:sz="0" w:space="0" w:color="auto"/>
                                      </w:divBdr>
                                      <w:divsChild>
                                        <w:div w:id="554463085">
                                          <w:marLeft w:val="0"/>
                                          <w:marRight w:val="0"/>
                                          <w:marTop w:val="0"/>
                                          <w:marBottom w:val="0"/>
                                          <w:divBdr>
                                            <w:top w:val="none" w:sz="0" w:space="0" w:color="auto"/>
                                            <w:left w:val="none" w:sz="0" w:space="0" w:color="auto"/>
                                            <w:bottom w:val="none" w:sz="0" w:space="0" w:color="auto"/>
                                            <w:right w:val="none" w:sz="0" w:space="0" w:color="auto"/>
                                          </w:divBdr>
                                          <w:divsChild>
                                            <w:div w:id="1978534613">
                                              <w:marLeft w:val="0"/>
                                              <w:marRight w:val="0"/>
                                              <w:marTop w:val="0"/>
                                              <w:marBottom w:val="0"/>
                                              <w:divBdr>
                                                <w:top w:val="none" w:sz="0" w:space="0" w:color="auto"/>
                                                <w:left w:val="none" w:sz="0" w:space="0" w:color="auto"/>
                                                <w:bottom w:val="none" w:sz="0" w:space="0" w:color="auto"/>
                                                <w:right w:val="none" w:sz="0" w:space="0" w:color="auto"/>
                                              </w:divBdr>
                                              <w:divsChild>
                                                <w:div w:id="146242431">
                                                  <w:marLeft w:val="0"/>
                                                  <w:marRight w:val="0"/>
                                                  <w:marTop w:val="0"/>
                                                  <w:marBottom w:val="24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14840046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558170">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42456142">
      <w:marLeft w:val="0"/>
      <w:marRight w:val="0"/>
      <w:marTop w:val="0"/>
      <w:marBottom w:val="0"/>
      <w:divBdr>
        <w:top w:val="none" w:sz="0" w:space="0" w:color="auto"/>
        <w:left w:val="none" w:sz="0" w:space="0" w:color="auto"/>
        <w:bottom w:val="none" w:sz="0" w:space="0" w:color="auto"/>
        <w:right w:val="none" w:sz="0" w:space="0" w:color="auto"/>
      </w:divBdr>
    </w:div>
    <w:div w:id="449016024">
      <w:marLeft w:val="0"/>
      <w:marRight w:val="0"/>
      <w:marTop w:val="0"/>
      <w:marBottom w:val="0"/>
      <w:divBdr>
        <w:top w:val="none" w:sz="0" w:space="0" w:color="auto"/>
        <w:left w:val="none" w:sz="0" w:space="0" w:color="auto"/>
        <w:bottom w:val="none" w:sz="0" w:space="0" w:color="auto"/>
        <w:right w:val="none" w:sz="0" w:space="0" w:color="auto"/>
      </w:divBdr>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527373688">
      <w:bodyDiv w:val="1"/>
      <w:marLeft w:val="0"/>
      <w:marRight w:val="0"/>
      <w:marTop w:val="0"/>
      <w:marBottom w:val="0"/>
      <w:divBdr>
        <w:top w:val="none" w:sz="0" w:space="0" w:color="auto"/>
        <w:left w:val="none" w:sz="0" w:space="0" w:color="auto"/>
        <w:bottom w:val="none" w:sz="0" w:space="0" w:color="auto"/>
        <w:right w:val="none" w:sz="0" w:space="0" w:color="auto"/>
      </w:divBdr>
    </w:div>
    <w:div w:id="538707551">
      <w:marLeft w:val="0"/>
      <w:marRight w:val="0"/>
      <w:marTop w:val="0"/>
      <w:marBottom w:val="0"/>
      <w:divBdr>
        <w:top w:val="none" w:sz="0" w:space="0" w:color="auto"/>
        <w:left w:val="none" w:sz="0" w:space="0" w:color="auto"/>
        <w:bottom w:val="none" w:sz="0" w:space="0" w:color="auto"/>
        <w:right w:val="none" w:sz="0" w:space="0" w:color="auto"/>
      </w:divBdr>
    </w:div>
    <w:div w:id="594555572">
      <w:marLeft w:val="0"/>
      <w:marRight w:val="0"/>
      <w:marTop w:val="0"/>
      <w:marBottom w:val="0"/>
      <w:divBdr>
        <w:top w:val="none" w:sz="0" w:space="0" w:color="auto"/>
        <w:left w:val="none" w:sz="0" w:space="0" w:color="auto"/>
        <w:bottom w:val="none" w:sz="0" w:space="0" w:color="auto"/>
        <w:right w:val="none" w:sz="0" w:space="0" w:color="auto"/>
      </w:divBdr>
    </w:div>
    <w:div w:id="596183465">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639770667">
      <w:marLeft w:val="0"/>
      <w:marRight w:val="0"/>
      <w:marTop w:val="0"/>
      <w:marBottom w:val="0"/>
      <w:divBdr>
        <w:top w:val="none" w:sz="0" w:space="0" w:color="auto"/>
        <w:left w:val="none" w:sz="0" w:space="0" w:color="auto"/>
        <w:bottom w:val="none" w:sz="0" w:space="0" w:color="auto"/>
        <w:right w:val="none" w:sz="0" w:space="0" w:color="auto"/>
      </w:divBdr>
    </w:div>
    <w:div w:id="698703327">
      <w:marLeft w:val="0"/>
      <w:marRight w:val="0"/>
      <w:marTop w:val="0"/>
      <w:marBottom w:val="0"/>
      <w:divBdr>
        <w:top w:val="none" w:sz="0" w:space="0" w:color="auto"/>
        <w:left w:val="none" w:sz="0" w:space="0" w:color="auto"/>
        <w:bottom w:val="none" w:sz="0" w:space="0" w:color="auto"/>
        <w:right w:val="none" w:sz="0" w:space="0" w:color="auto"/>
      </w:divBdr>
    </w:div>
    <w:div w:id="720326559">
      <w:marLeft w:val="0"/>
      <w:marRight w:val="0"/>
      <w:marTop w:val="0"/>
      <w:marBottom w:val="0"/>
      <w:divBdr>
        <w:top w:val="none" w:sz="0" w:space="0" w:color="auto"/>
        <w:left w:val="none" w:sz="0" w:space="0" w:color="auto"/>
        <w:bottom w:val="none" w:sz="0" w:space="0" w:color="auto"/>
        <w:right w:val="none" w:sz="0" w:space="0" w:color="auto"/>
      </w:divBdr>
    </w:div>
    <w:div w:id="746879262">
      <w:marLeft w:val="0"/>
      <w:marRight w:val="0"/>
      <w:marTop w:val="0"/>
      <w:marBottom w:val="0"/>
      <w:divBdr>
        <w:top w:val="none" w:sz="0" w:space="0" w:color="auto"/>
        <w:left w:val="none" w:sz="0" w:space="0" w:color="auto"/>
        <w:bottom w:val="none" w:sz="0" w:space="0" w:color="auto"/>
        <w:right w:val="none" w:sz="0" w:space="0" w:color="auto"/>
      </w:divBdr>
    </w:div>
    <w:div w:id="820194098">
      <w:bodyDiv w:val="1"/>
      <w:marLeft w:val="0"/>
      <w:marRight w:val="0"/>
      <w:marTop w:val="0"/>
      <w:marBottom w:val="0"/>
      <w:divBdr>
        <w:top w:val="none" w:sz="0" w:space="0" w:color="auto"/>
        <w:left w:val="none" w:sz="0" w:space="0" w:color="auto"/>
        <w:bottom w:val="none" w:sz="0" w:space="0" w:color="auto"/>
        <w:right w:val="none" w:sz="0" w:space="0" w:color="auto"/>
      </w:divBdr>
      <w:divsChild>
        <w:div w:id="202714964">
          <w:marLeft w:val="0"/>
          <w:marRight w:val="0"/>
          <w:marTop w:val="0"/>
          <w:marBottom w:val="0"/>
          <w:divBdr>
            <w:top w:val="none" w:sz="0" w:space="0" w:color="auto"/>
            <w:left w:val="none" w:sz="0" w:space="0" w:color="auto"/>
            <w:bottom w:val="none" w:sz="0" w:space="0" w:color="auto"/>
            <w:right w:val="none" w:sz="0" w:space="0" w:color="auto"/>
          </w:divBdr>
          <w:divsChild>
            <w:div w:id="802506243">
              <w:marLeft w:val="0"/>
              <w:marRight w:val="0"/>
              <w:marTop w:val="0"/>
              <w:marBottom w:val="0"/>
              <w:divBdr>
                <w:top w:val="none" w:sz="0" w:space="0" w:color="auto"/>
                <w:left w:val="none" w:sz="0" w:space="0" w:color="auto"/>
                <w:bottom w:val="none" w:sz="0" w:space="0" w:color="auto"/>
                <w:right w:val="none" w:sz="0" w:space="0" w:color="auto"/>
              </w:divBdr>
              <w:divsChild>
                <w:div w:id="1904948803">
                  <w:marLeft w:val="0"/>
                  <w:marRight w:val="0"/>
                  <w:marTop w:val="0"/>
                  <w:marBottom w:val="0"/>
                  <w:divBdr>
                    <w:top w:val="none" w:sz="0" w:space="0" w:color="auto"/>
                    <w:left w:val="none" w:sz="0" w:space="0" w:color="auto"/>
                    <w:bottom w:val="none" w:sz="0" w:space="0" w:color="auto"/>
                    <w:right w:val="none" w:sz="0" w:space="0" w:color="auto"/>
                  </w:divBdr>
                  <w:divsChild>
                    <w:div w:id="2091610783">
                      <w:marLeft w:val="0"/>
                      <w:marRight w:val="0"/>
                      <w:marTop w:val="0"/>
                      <w:marBottom w:val="0"/>
                      <w:divBdr>
                        <w:top w:val="none" w:sz="0" w:space="0" w:color="auto"/>
                        <w:left w:val="single" w:sz="6" w:space="7" w:color="C4C4C4"/>
                        <w:bottom w:val="none" w:sz="0" w:space="0" w:color="auto"/>
                        <w:right w:val="single" w:sz="6" w:space="7" w:color="C4C4C4"/>
                      </w:divBdr>
                      <w:divsChild>
                        <w:div w:id="1155954059">
                          <w:marLeft w:val="0"/>
                          <w:marRight w:val="0"/>
                          <w:marTop w:val="0"/>
                          <w:marBottom w:val="0"/>
                          <w:divBdr>
                            <w:top w:val="none" w:sz="0" w:space="0" w:color="auto"/>
                            <w:left w:val="none" w:sz="0" w:space="0" w:color="auto"/>
                            <w:bottom w:val="none" w:sz="0" w:space="0" w:color="auto"/>
                            <w:right w:val="none" w:sz="0" w:space="0" w:color="auto"/>
                          </w:divBdr>
                          <w:divsChild>
                            <w:div w:id="892353018">
                              <w:marLeft w:val="0"/>
                              <w:marRight w:val="0"/>
                              <w:marTop w:val="0"/>
                              <w:marBottom w:val="0"/>
                              <w:divBdr>
                                <w:top w:val="none" w:sz="0" w:space="0" w:color="auto"/>
                                <w:left w:val="none" w:sz="0" w:space="0" w:color="auto"/>
                                <w:bottom w:val="none" w:sz="0" w:space="0" w:color="auto"/>
                                <w:right w:val="none" w:sz="0" w:space="0" w:color="auto"/>
                              </w:divBdr>
                              <w:divsChild>
                                <w:div w:id="23790557">
                                  <w:marLeft w:val="0"/>
                                  <w:marRight w:val="0"/>
                                  <w:marTop w:val="0"/>
                                  <w:marBottom w:val="240"/>
                                  <w:divBdr>
                                    <w:top w:val="none" w:sz="0" w:space="0" w:color="auto"/>
                                    <w:left w:val="none" w:sz="0" w:space="0" w:color="auto"/>
                                    <w:bottom w:val="none" w:sz="0" w:space="0" w:color="auto"/>
                                    <w:right w:val="none" w:sz="0" w:space="0" w:color="auto"/>
                                  </w:divBdr>
                                  <w:divsChild>
                                    <w:div w:id="1536850472">
                                      <w:marLeft w:val="0"/>
                                      <w:marRight w:val="0"/>
                                      <w:marTop w:val="0"/>
                                      <w:marBottom w:val="0"/>
                                      <w:divBdr>
                                        <w:top w:val="none" w:sz="0" w:space="0" w:color="auto"/>
                                        <w:left w:val="none" w:sz="0" w:space="0" w:color="auto"/>
                                        <w:bottom w:val="none" w:sz="0" w:space="0" w:color="auto"/>
                                        <w:right w:val="none" w:sz="0" w:space="0" w:color="auto"/>
                                      </w:divBdr>
                                      <w:divsChild>
                                        <w:div w:id="106435301">
                                          <w:marLeft w:val="0"/>
                                          <w:marRight w:val="0"/>
                                          <w:marTop w:val="0"/>
                                          <w:marBottom w:val="0"/>
                                          <w:divBdr>
                                            <w:top w:val="none" w:sz="0" w:space="0" w:color="auto"/>
                                            <w:left w:val="none" w:sz="0" w:space="0" w:color="auto"/>
                                            <w:bottom w:val="none" w:sz="0" w:space="0" w:color="auto"/>
                                            <w:right w:val="none" w:sz="0" w:space="0" w:color="auto"/>
                                          </w:divBdr>
                                          <w:divsChild>
                                            <w:div w:id="1364671769">
                                              <w:marLeft w:val="0"/>
                                              <w:marRight w:val="0"/>
                                              <w:marTop w:val="0"/>
                                              <w:marBottom w:val="0"/>
                                              <w:divBdr>
                                                <w:top w:val="none" w:sz="0" w:space="0" w:color="auto"/>
                                                <w:left w:val="none" w:sz="0" w:space="0" w:color="auto"/>
                                                <w:bottom w:val="none" w:sz="0" w:space="0" w:color="auto"/>
                                                <w:right w:val="none" w:sz="0" w:space="0" w:color="auto"/>
                                              </w:divBdr>
                                              <w:divsChild>
                                                <w:div w:id="1474836936">
                                                  <w:marLeft w:val="0"/>
                                                  <w:marRight w:val="0"/>
                                                  <w:marTop w:val="0"/>
                                                  <w:marBottom w:val="240"/>
                                                  <w:divBdr>
                                                    <w:top w:val="none" w:sz="0" w:space="0" w:color="auto"/>
                                                    <w:left w:val="none" w:sz="0" w:space="0" w:color="auto"/>
                                                    <w:bottom w:val="none" w:sz="0" w:space="0" w:color="auto"/>
                                                    <w:right w:val="none" w:sz="0" w:space="0" w:color="auto"/>
                                                  </w:divBdr>
                                                  <w:divsChild>
                                                    <w:div w:id="260334311">
                                                      <w:marLeft w:val="0"/>
                                                      <w:marRight w:val="0"/>
                                                      <w:marTop w:val="0"/>
                                                      <w:marBottom w:val="0"/>
                                                      <w:divBdr>
                                                        <w:top w:val="none" w:sz="0" w:space="0" w:color="auto"/>
                                                        <w:left w:val="none" w:sz="0" w:space="0" w:color="auto"/>
                                                        <w:bottom w:val="none" w:sz="0" w:space="0" w:color="auto"/>
                                                        <w:right w:val="none" w:sz="0" w:space="0" w:color="auto"/>
                                                      </w:divBdr>
                                                      <w:divsChild>
                                                        <w:div w:id="747887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535985">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1447835">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950627917">
      <w:bodyDiv w:val="1"/>
      <w:marLeft w:val="0"/>
      <w:marRight w:val="0"/>
      <w:marTop w:val="0"/>
      <w:marBottom w:val="0"/>
      <w:divBdr>
        <w:top w:val="none" w:sz="0" w:space="0" w:color="auto"/>
        <w:left w:val="none" w:sz="0" w:space="0" w:color="auto"/>
        <w:bottom w:val="none" w:sz="0" w:space="0" w:color="auto"/>
        <w:right w:val="none" w:sz="0" w:space="0" w:color="auto"/>
      </w:divBdr>
      <w:divsChild>
        <w:div w:id="1678656588">
          <w:marLeft w:val="0"/>
          <w:marRight w:val="0"/>
          <w:marTop w:val="0"/>
          <w:marBottom w:val="0"/>
          <w:divBdr>
            <w:top w:val="none" w:sz="0" w:space="0" w:color="auto"/>
            <w:left w:val="none" w:sz="0" w:space="0" w:color="auto"/>
            <w:bottom w:val="none" w:sz="0" w:space="0" w:color="auto"/>
            <w:right w:val="none" w:sz="0" w:space="0" w:color="auto"/>
          </w:divBdr>
          <w:divsChild>
            <w:div w:id="551231720">
              <w:marLeft w:val="0"/>
              <w:marRight w:val="0"/>
              <w:marTop w:val="0"/>
              <w:marBottom w:val="0"/>
              <w:divBdr>
                <w:top w:val="none" w:sz="0" w:space="0" w:color="auto"/>
                <w:left w:val="none" w:sz="0" w:space="0" w:color="auto"/>
                <w:bottom w:val="none" w:sz="0" w:space="0" w:color="auto"/>
                <w:right w:val="none" w:sz="0" w:space="0" w:color="auto"/>
              </w:divBdr>
              <w:divsChild>
                <w:div w:id="130103404">
                  <w:marLeft w:val="0"/>
                  <w:marRight w:val="0"/>
                  <w:marTop w:val="0"/>
                  <w:marBottom w:val="0"/>
                  <w:divBdr>
                    <w:top w:val="none" w:sz="0" w:space="0" w:color="auto"/>
                    <w:left w:val="none" w:sz="0" w:space="0" w:color="auto"/>
                    <w:bottom w:val="none" w:sz="0" w:space="0" w:color="auto"/>
                    <w:right w:val="none" w:sz="0" w:space="0" w:color="auto"/>
                  </w:divBdr>
                  <w:divsChild>
                    <w:div w:id="1481187470">
                      <w:marLeft w:val="0"/>
                      <w:marRight w:val="0"/>
                      <w:marTop w:val="0"/>
                      <w:marBottom w:val="0"/>
                      <w:divBdr>
                        <w:top w:val="none" w:sz="0" w:space="0" w:color="auto"/>
                        <w:left w:val="single" w:sz="6" w:space="7" w:color="C4C4C4"/>
                        <w:bottom w:val="none" w:sz="0" w:space="0" w:color="auto"/>
                        <w:right w:val="single" w:sz="6" w:space="7" w:color="C4C4C4"/>
                      </w:divBdr>
                      <w:divsChild>
                        <w:div w:id="807165057">
                          <w:marLeft w:val="0"/>
                          <w:marRight w:val="0"/>
                          <w:marTop w:val="0"/>
                          <w:marBottom w:val="0"/>
                          <w:divBdr>
                            <w:top w:val="none" w:sz="0" w:space="0" w:color="auto"/>
                            <w:left w:val="none" w:sz="0" w:space="0" w:color="auto"/>
                            <w:bottom w:val="none" w:sz="0" w:space="0" w:color="auto"/>
                            <w:right w:val="none" w:sz="0" w:space="0" w:color="auto"/>
                          </w:divBdr>
                          <w:divsChild>
                            <w:div w:id="1328898079">
                              <w:marLeft w:val="0"/>
                              <w:marRight w:val="0"/>
                              <w:marTop w:val="0"/>
                              <w:marBottom w:val="0"/>
                              <w:divBdr>
                                <w:top w:val="none" w:sz="0" w:space="0" w:color="auto"/>
                                <w:left w:val="none" w:sz="0" w:space="0" w:color="auto"/>
                                <w:bottom w:val="none" w:sz="0" w:space="0" w:color="auto"/>
                                <w:right w:val="none" w:sz="0" w:space="0" w:color="auto"/>
                              </w:divBdr>
                              <w:divsChild>
                                <w:div w:id="1772434291">
                                  <w:marLeft w:val="0"/>
                                  <w:marRight w:val="0"/>
                                  <w:marTop w:val="0"/>
                                  <w:marBottom w:val="0"/>
                                  <w:divBdr>
                                    <w:top w:val="none" w:sz="0" w:space="0" w:color="auto"/>
                                    <w:left w:val="none" w:sz="0" w:space="0" w:color="auto"/>
                                    <w:bottom w:val="none" w:sz="0" w:space="0" w:color="auto"/>
                                    <w:right w:val="none" w:sz="0" w:space="0" w:color="auto"/>
                                  </w:divBdr>
                                  <w:divsChild>
                                    <w:div w:id="358093097">
                                      <w:marLeft w:val="0"/>
                                      <w:marRight w:val="0"/>
                                      <w:marTop w:val="0"/>
                                      <w:marBottom w:val="0"/>
                                      <w:divBdr>
                                        <w:top w:val="none" w:sz="0" w:space="0" w:color="auto"/>
                                        <w:left w:val="none" w:sz="0" w:space="0" w:color="auto"/>
                                        <w:bottom w:val="none" w:sz="0" w:space="0" w:color="auto"/>
                                        <w:right w:val="none" w:sz="0" w:space="0" w:color="auto"/>
                                      </w:divBdr>
                                      <w:divsChild>
                                        <w:div w:id="829449003">
                                          <w:marLeft w:val="0"/>
                                          <w:marRight w:val="0"/>
                                          <w:marTop w:val="0"/>
                                          <w:marBottom w:val="0"/>
                                          <w:divBdr>
                                            <w:top w:val="none" w:sz="0" w:space="0" w:color="auto"/>
                                            <w:left w:val="none" w:sz="0" w:space="0" w:color="auto"/>
                                            <w:bottom w:val="none" w:sz="0" w:space="0" w:color="auto"/>
                                            <w:right w:val="none" w:sz="0" w:space="0" w:color="auto"/>
                                          </w:divBdr>
                                          <w:divsChild>
                                            <w:div w:id="151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8594">
      <w:bodyDiv w:val="1"/>
      <w:marLeft w:val="0"/>
      <w:marRight w:val="0"/>
      <w:marTop w:val="0"/>
      <w:marBottom w:val="0"/>
      <w:divBdr>
        <w:top w:val="none" w:sz="0" w:space="0" w:color="auto"/>
        <w:left w:val="none" w:sz="0" w:space="0" w:color="auto"/>
        <w:bottom w:val="none" w:sz="0" w:space="0" w:color="auto"/>
        <w:right w:val="none" w:sz="0" w:space="0" w:color="auto"/>
      </w:divBdr>
    </w:div>
    <w:div w:id="1155028311">
      <w:bodyDiv w:val="1"/>
      <w:marLeft w:val="0"/>
      <w:marRight w:val="0"/>
      <w:marTop w:val="0"/>
      <w:marBottom w:val="0"/>
      <w:divBdr>
        <w:top w:val="none" w:sz="0" w:space="0" w:color="auto"/>
        <w:left w:val="none" w:sz="0" w:space="0" w:color="auto"/>
        <w:bottom w:val="none" w:sz="0" w:space="0" w:color="auto"/>
        <w:right w:val="none" w:sz="0" w:space="0" w:color="auto"/>
      </w:divBdr>
      <w:divsChild>
        <w:div w:id="1720594804">
          <w:marLeft w:val="0"/>
          <w:marRight w:val="0"/>
          <w:marTop w:val="0"/>
          <w:marBottom w:val="0"/>
          <w:divBdr>
            <w:top w:val="none" w:sz="0" w:space="0" w:color="auto"/>
            <w:left w:val="none" w:sz="0" w:space="0" w:color="auto"/>
            <w:bottom w:val="none" w:sz="0" w:space="0" w:color="auto"/>
            <w:right w:val="none" w:sz="0" w:space="0" w:color="auto"/>
          </w:divBdr>
          <w:divsChild>
            <w:div w:id="1946231159">
              <w:marLeft w:val="0"/>
              <w:marRight w:val="0"/>
              <w:marTop w:val="0"/>
              <w:marBottom w:val="0"/>
              <w:divBdr>
                <w:top w:val="none" w:sz="0" w:space="0" w:color="auto"/>
                <w:left w:val="none" w:sz="0" w:space="0" w:color="auto"/>
                <w:bottom w:val="none" w:sz="0" w:space="0" w:color="auto"/>
                <w:right w:val="none" w:sz="0" w:space="0" w:color="auto"/>
              </w:divBdr>
              <w:divsChild>
                <w:div w:id="1002929057">
                  <w:marLeft w:val="0"/>
                  <w:marRight w:val="0"/>
                  <w:marTop w:val="0"/>
                  <w:marBottom w:val="0"/>
                  <w:divBdr>
                    <w:top w:val="none" w:sz="0" w:space="0" w:color="auto"/>
                    <w:left w:val="none" w:sz="0" w:space="0" w:color="auto"/>
                    <w:bottom w:val="none" w:sz="0" w:space="0" w:color="auto"/>
                    <w:right w:val="none" w:sz="0" w:space="0" w:color="auto"/>
                  </w:divBdr>
                  <w:divsChild>
                    <w:div w:id="356658591">
                      <w:marLeft w:val="0"/>
                      <w:marRight w:val="0"/>
                      <w:marTop w:val="0"/>
                      <w:marBottom w:val="0"/>
                      <w:divBdr>
                        <w:top w:val="none" w:sz="0" w:space="0" w:color="auto"/>
                        <w:left w:val="single" w:sz="6" w:space="7" w:color="C4C4C4"/>
                        <w:bottom w:val="none" w:sz="0" w:space="0" w:color="auto"/>
                        <w:right w:val="single" w:sz="6" w:space="7" w:color="C4C4C4"/>
                      </w:divBdr>
                      <w:divsChild>
                        <w:div w:id="821193072">
                          <w:marLeft w:val="0"/>
                          <w:marRight w:val="0"/>
                          <w:marTop w:val="0"/>
                          <w:marBottom w:val="0"/>
                          <w:divBdr>
                            <w:top w:val="none" w:sz="0" w:space="0" w:color="auto"/>
                            <w:left w:val="none" w:sz="0" w:space="0" w:color="auto"/>
                            <w:bottom w:val="none" w:sz="0" w:space="0" w:color="auto"/>
                            <w:right w:val="none" w:sz="0" w:space="0" w:color="auto"/>
                          </w:divBdr>
                          <w:divsChild>
                            <w:div w:id="299651743">
                              <w:marLeft w:val="0"/>
                              <w:marRight w:val="0"/>
                              <w:marTop w:val="0"/>
                              <w:marBottom w:val="0"/>
                              <w:divBdr>
                                <w:top w:val="none" w:sz="0" w:space="0" w:color="auto"/>
                                <w:left w:val="none" w:sz="0" w:space="0" w:color="auto"/>
                                <w:bottom w:val="none" w:sz="0" w:space="0" w:color="auto"/>
                                <w:right w:val="none" w:sz="0" w:space="0" w:color="auto"/>
                              </w:divBdr>
                              <w:divsChild>
                                <w:div w:id="1959991505">
                                  <w:marLeft w:val="0"/>
                                  <w:marRight w:val="0"/>
                                  <w:marTop w:val="0"/>
                                  <w:marBottom w:val="240"/>
                                  <w:divBdr>
                                    <w:top w:val="none" w:sz="0" w:space="0" w:color="auto"/>
                                    <w:left w:val="none" w:sz="0" w:space="0" w:color="auto"/>
                                    <w:bottom w:val="none" w:sz="0" w:space="0" w:color="auto"/>
                                    <w:right w:val="none" w:sz="0" w:space="0" w:color="auto"/>
                                  </w:divBdr>
                                  <w:divsChild>
                                    <w:div w:id="150214857">
                                      <w:marLeft w:val="0"/>
                                      <w:marRight w:val="0"/>
                                      <w:marTop w:val="0"/>
                                      <w:marBottom w:val="0"/>
                                      <w:divBdr>
                                        <w:top w:val="none" w:sz="0" w:space="0" w:color="auto"/>
                                        <w:left w:val="none" w:sz="0" w:space="0" w:color="auto"/>
                                        <w:bottom w:val="none" w:sz="0" w:space="0" w:color="auto"/>
                                        <w:right w:val="none" w:sz="0" w:space="0" w:color="auto"/>
                                      </w:divBdr>
                                      <w:divsChild>
                                        <w:div w:id="326976630">
                                          <w:marLeft w:val="0"/>
                                          <w:marRight w:val="0"/>
                                          <w:marTop w:val="0"/>
                                          <w:marBottom w:val="0"/>
                                          <w:divBdr>
                                            <w:top w:val="none" w:sz="0" w:space="0" w:color="auto"/>
                                            <w:left w:val="none" w:sz="0" w:space="0" w:color="auto"/>
                                            <w:bottom w:val="none" w:sz="0" w:space="0" w:color="auto"/>
                                            <w:right w:val="none" w:sz="0" w:space="0" w:color="auto"/>
                                          </w:divBdr>
                                          <w:divsChild>
                                            <w:div w:id="1079324566">
                                              <w:marLeft w:val="0"/>
                                              <w:marRight w:val="0"/>
                                              <w:marTop w:val="0"/>
                                              <w:marBottom w:val="0"/>
                                              <w:divBdr>
                                                <w:top w:val="none" w:sz="0" w:space="0" w:color="auto"/>
                                                <w:left w:val="none" w:sz="0" w:space="0" w:color="auto"/>
                                                <w:bottom w:val="none" w:sz="0" w:space="0" w:color="auto"/>
                                                <w:right w:val="none" w:sz="0" w:space="0" w:color="auto"/>
                                              </w:divBdr>
                                              <w:divsChild>
                                                <w:div w:id="1413772591">
                                                  <w:marLeft w:val="0"/>
                                                  <w:marRight w:val="0"/>
                                                  <w:marTop w:val="0"/>
                                                  <w:marBottom w:val="24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sChild>
                                                        <w:div w:id="4996089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623801">
      <w:marLeft w:val="0"/>
      <w:marRight w:val="0"/>
      <w:marTop w:val="0"/>
      <w:marBottom w:val="0"/>
      <w:divBdr>
        <w:top w:val="none" w:sz="0" w:space="0" w:color="auto"/>
        <w:left w:val="none" w:sz="0" w:space="0" w:color="auto"/>
        <w:bottom w:val="none" w:sz="0" w:space="0" w:color="auto"/>
        <w:right w:val="none" w:sz="0" w:space="0" w:color="auto"/>
      </w:divBdr>
    </w:div>
    <w:div w:id="1193223283">
      <w:bodyDiv w:val="1"/>
      <w:marLeft w:val="0"/>
      <w:marRight w:val="0"/>
      <w:marTop w:val="0"/>
      <w:marBottom w:val="0"/>
      <w:divBdr>
        <w:top w:val="none" w:sz="0" w:space="0" w:color="auto"/>
        <w:left w:val="none" w:sz="0" w:space="0" w:color="auto"/>
        <w:bottom w:val="none" w:sz="0" w:space="0" w:color="auto"/>
        <w:right w:val="none" w:sz="0" w:space="0" w:color="auto"/>
      </w:divBdr>
      <w:divsChild>
        <w:div w:id="939218585">
          <w:marLeft w:val="0"/>
          <w:marRight w:val="0"/>
          <w:marTop w:val="0"/>
          <w:marBottom w:val="0"/>
          <w:divBdr>
            <w:top w:val="none" w:sz="0" w:space="0" w:color="auto"/>
            <w:left w:val="none" w:sz="0" w:space="0" w:color="auto"/>
            <w:bottom w:val="none" w:sz="0" w:space="0" w:color="auto"/>
            <w:right w:val="none" w:sz="0" w:space="0" w:color="auto"/>
          </w:divBdr>
          <w:divsChild>
            <w:div w:id="623780074">
              <w:marLeft w:val="0"/>
              <w:marRight w:val="0"/>
              <w:marTop w:val="0"/>
              <w:marBottom w:val="0"/>
              <w:divBdr>
                <w:top w:val="none" w:sz="0" w:space="0" w:color="auto"/>
                <w:left w:val="none" w:sz="0" w:space="0" w:color="auto"/>
                <w:bottom w:val="none" w:sz="0" w:space="0" w:color="auto"/>
                <w:right w:val="none" w:sz="0" w:space="0" w:color="auto"/>
              </w:divBdr>
              <w:divsChild>
                <w:div w:id="398479076">
                  <w:marLeft w:val="0"/>
                  <w:marRight w:val="0"/>
                  <w:marTop w:val="0"/>
                  <w:marBottom w:val="0"/>
                  <w:divBdr>
                    <w:top w:val="none" w:sz="0" w:space="0" w:color="auto"/>
                    <w:left w:val="none" w:sz="0" w:space="0" w:color="auto"/>
                    <w:bottom w:val="none" w:sz="0" w:space="0" w:color="auto"/>
                    <w:right w:val="none" w:sz="0" w:space="0" w:color="auto"/>
                  </w:divBdr>
                  <w:divsChild>
                    <w:div w:id="1401519450">
                      <w:marLeft w:val="0"/>
                      <w:marRight w:val="0"/>
                      <w:marTop w:val="0"/>
                      <w:marBottom w:val="0"/>
                      <w:divBdr>
                        <w:top w:val="none" w:sz="0" w:space="0" w:color="auto"/>
                        <w:left w:val="single" w:sz="6" w:space="7" w:color="C4C4C4"/>
                        <w:bottom w:val="none" w:sz="0" w:space="0" w:color="auto"/>
                        <w:right w:val="single" w:sz="6" w:space="7" w:color="C4C4C4"/>
                      </w:divBdr>
                      <w:divsChild>
                        <w:div w:id="819928005">
                          <w:marLeft w:val="0"/>
                          <w:marRight w:val="0"/>
                          <w:marTop w:val="0"/>
                          <w:marBottom w:val="0"/>
                          <w:divBdr>
                            <w:top w:val="none" w:sz="0" w:space="0" w:color="auto"/>
                            <w:left w:val="none" w:sz="0" w:space="0" w:color="auto"/>
                            <w:bottom w:val="none" w:sz="0" w:space="0" w:color="auto"/>
                            <w:right w:val="none" w:sz="0" w:space="0" w:color="auto"/>
                          </w:divBdr>
                          <w:divsChild>
                            <w:div w:id="2077193586">
                              <w:marLeft w:val="0"/>
                              <w:marRight w:val="0"/>
                              <w:marTop w:val="0"/>
                              <w:marBottom w:val="0"/>
                              <w:divBdr>
                                <w:top w:val="none" w:sz="0" w:space="0" w:color="auto"/>
                                <w:left w:val="none" w:sz="0" w:space="0" w:color="auto"/>
                                <w:bottom w:val="none" w:sz="0" w:space="0" w:color="auto"/>
                                <w:right w:val="none" w:sz="0" w:space="0" w:color="auto"/>
                              </w:divBdr>
                              <w:divsChild>
                                <w:div w:id="1169439531">
                                  <w:marLeft w:val="0"/>
                                  <w:marRight w:val="0"/>
                                  <w:marTop w:val="0"/>
                                  <w:marBottom w:val="240"/>
                                  <w:divBdr>
                                    <w:top w:val="none" w:sz="0" w:space="0" w:color="auto"/>
                                    <w:left w:val="none" w:sz="0" w:space="0" w:color="auto"/>
                                    <w:bottom w:val="none" w:sz="0" w:space="0" w:color="auto"/>
                                    <w:right w:val="none" w:sz="0" w:space="0" w:color="auto"/>
                                  </w:divBdr>
                                  <w:divsChild>
                                    <w:div w:id="894002368">
                                      <w:marLeft w:val="0"/>
                                      <w:marRight w:val="0"/>
                                      <w:marTop w:val="0"/>
                                      <w:marBottom w:val="0"/>
                                      <w:divBdr>
                                        <w:top w:val="none" w:sz="0" w:space="0" w:color="auto"/>
                                        <w:left w:val="none" w:sz="0" w:space="0" w:color="auto"/>
                                        <w:bottom w:val="none" w:sz="0" w:space="0" w:color="auto"/>
                                        <w:right w:val="none" w:sz="0" w:space="0" w:color="auto"/>
                                      </w:divBdr>
                                      <w:divsChild>
                                        <w:div w:id="874656072">
                                          <w:marLeft w:val="0"/>
                                          <w:marRight w:val="0"/>
                                          <w:marTop w:val="0"/>
                                          <w:marBottom w:val="0"/>
                                          <w:divBdr>
                                            <w:top w:val="none" w:sz="0" w:space="0" w:color="auto"/>
                                            <w:left w:val="none" w:sz="0" w:space="0" w:color="auto"/>
                                            <w:bottom w:val="none" w:sz="0" w:space="0" w:color="auto"/>
                                            <w:right w:val="none" w:sz="0" w:space="0" w:color="auto"/>
                                          </w:divBdr>
                                          <w:divsChild>
                                            <w:div w:id="1268006844">
                                              <w:marLeft w:val="0"/>
                                              <w:marRight w:val="0"/>
                                              <w:marTop w:val="0"/>
                                              <w:marBottom w:val="0"/>
                                              <w:divBdr>
                                                <w:top w:val="none" w:sz="0" w:space="0" w:color="auto"/>
                                                <w:left w:val="none" w:sz="0" w:space="0" w:color="auto"/>
                                                <w:bottom w:val="none" w:sz="0" w:space="0" w:color="auto"/>
                                                <w:right w:val="none" w:sz="0" w:space="0" w:color="auto"/>
                                              </w:divBdr>
                                              <w:divsChild>
                                                <w:div w:id="1992099655">
                                                  <w:marLeft w:val="0"/>
                                                  <w:marRight w:val="0"/>
                                                  <w:marTop w:val="0"/>
                                                  <w:marBottom w:val="0"/>
                                                  <w:divBdr>
                                                    <w:top w:val="none" w:sz="0" w:space="0" w:color="auto"/>
                                                    <w:left w:val="none" w:sz="0" w:space="0" w:color="auto"/>
                                                    <w:bottom w:val="none" w:sz="0" w:space="0" w:color="auto"/>
                                                    <w:right w:val="none" w:sz="0" w:space="0" w:color="auto"/>
                                                  </w:divBdr>
                                                  <w:divsChild>
                                                    <w:div w:id="308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01685">
      <w:bodyDiv w:val="1"/>
      <w:marLeft w:val="0"/>
      <w:marRight w:val="0"/>
      <w:marTop w:val="0"/>
      <w:marBottom w:val="0"/>
      <w:divBdr>
        <w:top w:val="none" w:sz="0" w:space="0" w:color="auto"/>
        <w:left w:val="none" w:sz="0" w:space="0" w:color="auto"/>
        <w:bottom w:val="none" w:sz="0" w:space="0" w:color="auto"/>
        <w:right w:val="none" w:sz="0" w:space="0" w:color="auto"/>
      </w:divBdr>
      <w:divsChild>
        <w:div w:id="722216194">
          <w:marLeft w:val="0"/>
          <w:marRight w:val="0"/>
          <w:marTop w:val="0"/>
          <w:marBottom w:val="0"/>
          <w:divBdr>
            <w:top w:val="none" w:sz="0" w:space="0" w:color="auto"/>
            <w:left w:val="none" w:sz="0" w:space="0" w:color="auto"/>
            <w:bottom w:val="none" w:sz="0" w:space="0" w:color="auto"/>
            <w:right w:val="none" w:sz="0" w:space="0" w:color="auto"/>
          </w:divBdr>
          <w:divsChild>
            <w:div w:id="919682433">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054699218">
                      <w:marLeft w:val="0"/>
                      <w:marRight w:val="0"/>
                      <w:marTop w:val="0"/>
                      <w:marBottom w:val="0"/>
                      <w:divBdr>
                        <w:top w:val="none" w:sz="0" w:space="0" w:color="auto"/>
                        <w:left w:val="single" w:sz="6" w:space="7" w:color="C4C4C4"/>
                        <w:bottom w:val="none" w:sz="0" w:space="0" w:color="auto"/>
                        <w:right w:val="single" w:sz="6" w:space="7" w:color="C4C4C4"/>
                      </w:divBdr>
                      <w:divsChild>
                        <w:div w:id="205603639">
                          <w:marLeft w:val="0"/>
                          <w:marRight w:val="0"/>
                          <w:marTop w:val="0"/>
                          <w:marBottom w:val="0"/>
                          <w:divBdr>
                            <w:top w:val="none" w:sz="0" w:space="0" w:color="auto"/>
                            <w:left w:val="none" w:sz="0" w:space="0" w:color="auto"/>
                            <w:bottom w:val="none" w:sz="0" w:space="0" w:color="auto"/>
                            <w:right w:val="none" w:sz="0" w:space="0" w:color="auto"/>
                          </w:divBdr>
                          <w:divsChild>
                            <w:div w:id="308680039">
                              <w:marLeft w:val="0"/>
                              <w:marRight w:val="0"/>
                              <w:marTop w:val="0"/>
                              <w:marBottom w:val="0"/>
                              <w:divBdr>
                                <w:top w:val="none" w:sz="0" w:space="0" w:color="auto"/>
                                <w:left w:val="none" w:sz="0" w:space="0" w:color="auto"/>
                                <w:bottom w:val="none" w:sz="0" w:space="0" w:color="auto"/>
                                <w:right w:val="none" w:sz="0" w:space="0" w:color="auto"/>
                              </w:divBdr>
                              <w:divsChild>
                                <w:div w:id="1182475650">
                                  <w:marLeft w:val="0"/>
                                  <w:marRight w:val="0"/>
                                  <w:marTop w:val="0"/>
                                  <w:marBottom w:val="0"/>
                                  <w:divBdr>
                                    <w:top w:val="none" w:sz="0" w:space="0" w:color="auto"/>
                                    <w:left w:val="none" w:sz="0" w:space="0" w:color="auto"/>
                                    <w:bottom w:val="none" w:sz="0" w:space="0" w:color="auto"/>
                                    <w:right w:val="none" w:sz="0" w:space="0" w:color="auto"/>
                                  </w:divBdr>
                                  <w:divsChild>
                                    <w:div w:id="1291400381">
                                      <w:marLeft w:val="0"/>
                                      <w:marRight w:val="0"/>
                                      <w:marTop w:val="0"/>
                                      <w:marBottom w:val="0"/>
                                      <w:divBdr>
                                        <w:top w:val="none" w:sz="0" w:space="0" w:color="auto"/>
                                        <w:left w:val="none" w:sz="0" w:space="0" w:color="auto"/>
                                        <w:bottom w:val="none" w:sz="0" w:space="0" w:color="auto"/>
                                        <w:right w:val="none" w:sz="0" w:space="0" w:color="auto"/>
                                      </w:divBdr>
                                      <w:divsChild>
                                        <w:div w:id="1740249058">
                                          <w:marLeft w:val="0"/>
                                          <w:marRight w:val="0"/>
                                          <w:marTop w:val="0"/>
                                          <w:marBottom w:val="0"/>
                                          <w:divBdr>
                                            <w:top w:val="none" w:sz="0" w:space="0" w:color="auto"/>
                                            <w:left w:val="none" w:sz="0" w:space="0" w:color="auto"/>
                                            <w:bottom w:val="none" w:sz="0" w:space="0" w:color="auto"/>
                                            <w:right w:val="none" w:sz="0" w:space="0" w:color="auto"/>
                                          </w:divBdr>
                                          <w:divsChild>
                                            <w:div w:id="19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838">
      <w:bodyDiv w:val="1"/>
      <w:marLeft w:val="0"/>
      <w:marRight w:val="0"/>
      <w:marTop w:val="0"/>
      <w:marBottom w:val="0"/>
      <w:divBdr>
        <w:top w:val="none" w:sz="0" w:space="0" w:color="auto"/>
        <w:left w:val="none" w:sz="0" w:space="0" w:color="auto"/>
        <w:bottom w:val="none" w:sz="0" w:space="0" w:color="auto"/>
        <w:right w:val="none" w:sz="0" w:space="0" w:color="auto"/>
      </w:divBdr>
      <w:divsChild>
        <w:div w:id="463276218">
          <w:marLeft w:val="0"/>
          <w:marRight w:val="0"/>
          <w:marTop w:val="0"/>
          <w:marBottom w:val="0"/>
          <w:divBdr>
            <w:top w:val="none" w:sz="0" w:space="0" w:color="auto"/>
            <w:left w:val="none" w:sz="0" w:space="0" w:color="auto"/>
            <w:bottom w:val="none" w:sz="0" w:space="0" w:color="auto"/>
            <w:right w:val="none" w:sz="0" w:space="0" w:color="auto"/>
          </w:divBdr>
          <w:divsChild>
            <w:div w:id="1086076986">
              <w:marLeft w:val="0"/>
              <w:marRight w:val="0"/>
              <w:marTop w:val="0"/>
              <w:marBottom w:val="0"/>
              <w:divBdr>
                <w:top w:val="none" w:sz="0" w:space="0" w:color="auto"/>
                <w:left w:val="none" w:sz="0" w:space="0" w:color="auto"/>
                <w:bottom w:val="none" w:sz="0" w:space="0" w:color="auto"/>
                <w:right w:val="none" w:sz="0" w:space="0" w:color="auto"/>
              </w:divBdr>
              <w:divsChild>
                <w:div w:id="1692298503">
                  <w:marLeft w:val="0"/>
                  <w:marRight w:val="0"/>
                  <w:marTop w:val="0"/>
                  <w:marBottom w:val="0"/>
                  <w:divBdr>
                    <w:top w:val="none" w:sz="0" w:space="0" w:color="auto"/>
                    <w:left w:val="none" w:sz="0" w:space="0" w:color="auto"/>
                    <w:bottom w:val="none" w:sz="0" w:space="0" w:color="auto"/>
                    <w:right w:val="none" w:sz="0" w:space="0" w:color="auto"/>
                  </w:divBdr>
                  <w:divsChild>
                    <w:div w:id="1099327578">
                      <w:marLeft w:val="0"/>
                      <w:marRight w:val="0"/>
                      <w:marTop w:val="0"/>
                      <w:marBottom w:val="0"/>
                      <w:divBdr>
                        <w:top w:val="none" w:sz="0" w:space="0" w:color="auto"/>
                        <w:left w:val="none" w:sz="0" w:space="0" w:color="auto"/>
                        <w:bottom w:val="none" w:sz="0" w:space="0" w:color="auto"/>
                        <w:right w:val="none" w:sz="0" w:space="0" w:color="auto"/>
                      </w:divBdr>
                      <w:divsChild>
                        <w:div w:id="56830217">
                          <w:marLeft w:val="0"/>
                          <w:marRight w:val="0"/>
                          <w:marTop w:val="0"/>
                          <w:marBottom w:val="0"/>
                          <w:divBdr>
                            <w:top w:val="none" w:sz="0" w:space="0" w:color="auto"/>
                            <w:left w:val="none" w:sz="0" w:space="0" w:color="auto"/>
                            <w:bottom w:val="none" w:sz="0" w:space="0" w:color="auto"/>
                            <w:right w:val="none" w:sz="0" w:space="0" w:color="auto"/>
                          </w:divBdr>
                          <w:divsChild>
                            <w:div w:id="1498420682">
                              <w:marLeft w:val="0"/>
                              <w:marRight w:val="0"/>
                              <w:marTop w:val="0"/>
                              <w:marBottom w:val="0"/>
                              <w:divBdr>
                                <w:top w:val="none" w:sz="0" w:space="0" w:color="auto"/>
                                <w:left w:val="none" w:sz="0" w:space="0" w:color="auto"/>
                                <w:bottom w:val="none" w:sz="0" w:space="0" w:color="auto"/>
                                <w:right w:val="none" w:sz="0" w:space="0" w:color="auto"/>
                              </w:divBdr>
                              <w:divsChild>
                                <w:div w:id="2113938270">
                                  <w:marLeft w:val="0"/>
                                  <w:marRight w:val="0"/>
                                  <w:marTop w:val="0"/>
                                  <w:marBottom w:val="240"/>
                                  <w:divBdr>
                                    <w:top w:val="none" w:sz="0" w:space="0" w:color="auto"/>
                                    <w:left w:val="none" w:sz="0" w:space="0" w:color="auto"/>
                                    <w:bottom w:val="none" w:sz="0" w:space="0" w:color="auto"/>
                                    <w:right w:val="none" w:sz="0" w:space="0" w:color="auto"/>
                                  </w:divBdr>
                                  <w:divsChild>
                                    <w:div w:id="1724477334">
                                      <w:marLeft w:val="0"/>
                                      <w:marRight w:val="0"/>
                                      <w:marTop w:val="0"/>
                                      <w:marBottom w:val="0"/>
                                      <w:divBdr>
                                        <w:top w:val="none" w:sz="0" w:space="0" w:color="auto"/>
                                        <w:left w:val="none" w:sz="0" w:space="0" w:color="auto"/>
                                        <w:bottom w:val="none" w:sz="0" w:space="0" w:color="auto"/>
                                        <w:right w:val="none" w:sz="0" w:space="0" w:color="auto"/>
                                      </w:divBdr>
                                      <w:divsChild>
                                        <w:div w:id="694423779">
                                          <w:marLeft w:val="0"/>
                                          <w:marRight w:val="0"/>
                                          <w:marTop w:val="0"/>
                                          <w:marBottom w:val="0"/>
                                          <w:divBdr>
                                            <w:top w:val="none" w:sz="0" w:space="0" w:color="auto"/>
                                            <w:left w:val="none" w:sz="0" w:space="0" w:color="auto"/>
                                            <w:bottom w:val="none" w:sz="0" w:space="0" w:color="auto"/>
                                            <w:right w:val="none" w:sz="0" w:space="0" w:color="auto"/>
                                          </w:divBdr>
                                          <w:divsChild>
                                            <w:div w:id="1349873489">
                                              <w:marLeft w:val="0"/>
                                              <w:marRight w:val="0"/>
                                              <w:marTop w:val="0"/>
                                              <w:marBottom w:val="0"/>
                                              <w:divBdr>
                                                <w:top w:val="none" w:sz="0" w:space="0" w:color="auto"/>
                                                <w:left w:val="none" w:sz="0" w:space="0" w:color="auto"/>
                                                <w:bottom w:val="none" w:sz="0" w:space="0" w:color="auto"/>
                                                <w:right w:val="none" w:sz="0" w:space="0" w:color="auto"/>
                                              </w:divBdr>
                                              <w:divsChild>
                                                <w:div w:id="751391558">
                                                  <w:marLeft w:val="0"/>
                                                  <w:marRight w:val="0"/>
                                                  <w:marTop w:val="0"/>
                                                  <w:marBottom w:val="240"/>
                                                  <w:divBdr>
                                                    <w:top w:val="none" w:sz="0" w:space="0" w:color="auto"/>
                                                    <w:left w:val="none" w:sz="0" w:space="0" w:color="auto"/>
                                                    <w:bottom w:val="none" w:sz="0" w:space="0" w:color="auto"/>
                                                    <w:right w:val="none" w:sz="0" w:space="0" w:color="auto"/>
                                                  </w:divBdr>
                                                  <w:divsChild>
                                                    <w:div w:id="254287899">
                                                      <w:marLeft w:val="0"/>
                                                      <w:marRight w:val="0"/>
                                                      <w:marTop w:val="0"/>
                                                      <w:marBottom w:val="0"/>
                                                      <w:divBdr>
                                                        <w:top w:val="none" w:sz="0" w:space="0" w:color="auto"/>
                                                        <w:left w:val="none" w:sz="0" w:space="0" w:color="auto"/>
                                                        <w:bottom w:val="none" w:sz="0" w:space="0" w:color="auto"/>
                                                        <w:right w:val="none" w:sz="0" w:space="0" w:color="auto"/>
                                                      </w:divBdr>
                                                      <w:divsChild>
                                                        <w:div w:id="202902242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032124">
      <w:marLeft w:val="0"/>
      <w:marRight w:val="0"/>
      <w:marTop w:val="0"/>
      <w:marBottom w:val="0"/>
      <w:divBdr>
        <w:top w:val="none" w:sz="0" w:space="0" w:color="auto"/>
        <w:left w:val="none" w:sz="0" w:space="0" w:color="auto"/>
        <w:bottom w:val="none" w:sz="0" w:space="0" w:color="auto"/>
        <w:right w:val="none" w:sz="0" w:space="0" w:color="auto"/>
      </w:divBdr>
    </w:div>
    <w:div w:id="1389913625">
      <w:bodyDiv w:val="1"/>
      <w:marLeft w:val="0"/>
      <w:marRight w:val="0"/>
      <w:marTop w:val="0"/>
      <w:marBottom w:val="0"/>
      <w:divBdr>
        <w:top w:val="none" w:sz="0" w:space="0" w:color="auto"/>
        <w:left w:val="none" w:sz="0" w:space="0" w:color="auto"/>
        <w:bottom w:val="none" w:sz="0" w:space="0" w:color="auto"/>
        <w:right w:val="none" w:sz="0" w:space="0" w:color="auto"/>
      </w:divBdr>
    </w:div>
    <w:div w:id="1425761299">
      <w:bodyDiv w:val="1"/>
      <w:marLeft w:val="0"/>
      <w:marRight w:val="0"/>
      <w:marTop w:val="0"/>
      <w:marBottom w:val="0"/>
      <w:divBdr>
        <w:top w:val="none" w:sz="0" w:space="0" w:color="auto"/>
        <w:left w:val="none" w:sz="0" w:space="0" w:color="auto"/>
        <w:bottom w:val="none" w:sz="0" w:space="0" w:color="auto"/>
        <w:right w:val="none" w:sz="0" w:space="0" w:color="auto"/>
      </w:divBdr>
    </w:div>
    <w:div w:id="1442334238">
      <w:marLeft w:val="0"/>
      <w:marRight w:val="0"/>
      <w:marTop w:val="0"/>
      <w:marBottom w:val="0"/>
      <w:divBdr>
        <w:top w:val="none" w:sz="0" w:space="0" w:color="auto"/>
        <w:left w:val="none" w:sz="0" w:space="0" w:color="auto"/>
        <w:bottom w:val="none" w:sz="0" w:space="0" w:color="auto"/>
        <w:right w:val="none" w:sz="0" w:space="0" w:color="auto"/>
      </w:divBdr>
    </w:div>
    <w:div w:id="1557741333">
      <w:bodyDiv w:val="1"/>
      <w:marLeft w:val="0"/>
      <w:marRight w:val="0"/>
      <w:marTop w:val="0"/>
      <w:marBottom w:val="0"/>
      <w:divBdr>
        <w:top w:val="none" w:sz="0" w:space="0" w:color="auto"/>
        <w:left w:val="none" w:sz="0" w:space="0" w:color="auto"/>
        <w:bottom w:val="none" w:sz="0" w:space="0" w:color="auto"/>
        <w:right w:val="none" w:sz="0" w:space="0" w:color="auto"/>
      </w:divBdr>
      <w:divsChild>
        <w:div w:id="1979214431">
          <w:marLeft w:val="0"/>
          <w:marRight w:val="0"/>
          <w:marTop w:val="0"/>
          <w:marBottom w:val="0"/>
          <w:divBdr>
            <w:top w:val="none" w:sz="0" w:space="0" w:color="auto"/>
            <w:left w:val="none" w:sz="0" w:space="0" w:color="auto"/>
            <w:bottom w:val="none" w:sz="0" w:space="0" w:color="auto"/>
            <w:right w:val="none" w:sz="0" w:space="0" w:color="auto"/>
          </w:divBdr>
          <w:divsChild>
            <w:div w:id="466051265">
              <w:marLeft w:val="0"/>
              <w:marRight w:val="0"/>
              <w:marTop w:val="0"/>
              <w:marBottom w:val="0"/>
              <w:divBdr>
                <w:top w:val="none" w:sz="0" w:space="0" w:color="auto"/>
                <w:left w:val="none" w:sz="0" w:space="0" w:color="auto"/>
                <w:bottom w:val="none" w:sz="0" w:space="0" w:color="auto"/>
                <w:right w:val="none" w:sz="0" w:space="0" w:color="auto"/>
              </w:divBdr>
              <w:divsChild>
                <w:div w:id="717126365">
                  <w:marLeft w:val="0"/>
                  <w:marRight w:val="0"/>
                  <w:marTop w:val="0"/>
                  <w:marBottom w:val="0"/>
                  <w:divBdr>
                    <w:top w:val="none" w:sz="0" w:space="0" w:color="auto"/>
                    <w:left w:val="none" w:sz="0" w:space="0" w:color="auto"/>
                    <w:bottom w:val="none" w:sz="0" w:space="0" w:color="auto"/>
                    <w:right w:val="none" w:sz="0" w:space="0" w:color="auto"/>
                  </w:divBdr>
                  <w:divsChild>
                    <w:div w:id="685599299">
                      <w:marLeft w:val="0"/>
                      <w:marRight w:val="0"/>
                      <w:marTop w:val="0"/>
                      <w:marBottom w:val="0"/>
                      <w:divBdr>
                        <w:top w:val="none" w:sz="0" w:space="0" w:color="auto"/>
                        <w:left w:val="single" w:sz="6" w:space="7" w:color="C4C4C4"/>
                        <w:bottom w:val="none" w:sz="0" w:space="0" w:color="auto"/>
                        <w:right w:val="single" w:sz="6" w:space="7" w:color="C4C4C4"/>
                      </w:divBdr>
                      <w:divsChild>
                        <w:div w:id="1478183872">
                          <w:marLeft w:val="0"/>
                          <w:marRight w:val="0"/>
                          <w:marTop w:val="0"/>
                          <w:marBottom w:val="0"/>
                          <w:divBdr>
                            <w:top w:val="none" w:sz="0" w:space="0" w:color="auto"/>
                            <w:left w:val="none" w:sz="0" w:space="0" w:color="auto"/>
                            <w:bottom w:val="none" w:sz="0" w:space="0" w:color="auto"/>
                            <w:right w:val="none" w:sz="0" w:space="0" w:color="auto"/>
                          </w:divBdr>
                          <w:divsChild>
                            <w:div w:id="1363704289">
                              <w:marLeft w:val="0"/>
                              <w:marRight w:val="0"/>
                              <w:marTop w:val="0"/>
                              <w:marBottom w:val="0"/>
                              <w:divBdr>
                                <w:top w:val="none" w:sz="0" w:space="0" w:color="auto"/>
                                <w:left w:val="none" w:sz="0" w:space="0" w:color="auto"/>
                                <w:bottom w:val="none" w:sz="0" w:space="0" w:color="auto"/>
                                <w:right w:val="none" w:sz="0" w:space="0" w:color="auto"/>
                              </w:divBdr>
                              <w:divsChild>
                                <w:div w:id="2905333">
                                  <w:marLeft w:val="0"/>
                                  <w:marRight w:val="0"/>
                                  <w:marTop w:val="0"/>
                                  <w:marBottom w:val="240"/>
                                  <w:divBdr>
                                    <w:top w:val="none" w:sz="0" w:space="0" w:color="auto"/>
                                    <w:left w:val="none" w:sz="0" w:space="0" w:color="auto"/>
                                    <w:bottom w:val="none" w:sz="0" w:space="0" w:color="auto"/>
                                    <w:right w:val="none" w:sz="0" w:space="0" w:color="auto"/>
                                  </w:divBdr>
                                  <w:divsChild>
                                    <w:div w:id="782501405">
                                      <w:marLeft w:val="0"/>
                                      <w:marRight w:val="0"/>
                                      <w:marTop w:val="0"/>
                                      <w:marBottom w:val="0"/>
                                      <w:divBdr>
                                        <w:top w:val="none" w:sz="0" w:space="0" w:color="auto"/>
                                        <w:left w:val="none" w:sz="0" w:space="0" w:color="auto"/>
                                        <w:bottom w:val="none" w:sz="0" w:space="0" w:color="auto"/>
                                        <w:right w:val="none" w:sz="0" w:space="0" w:color="auto"/>
                                      </w:divBdr>
                                      <w:divsChild>
                                        <w:div w:id="361594837">
                                          <w:marLeft w:val="0"/>
                                          <w:marRight w:val="0"/>
                                          <w:marTop w:val="0"/>
                                          <w:marBottom w:val="0"/>
                                          <w:divBdr>
                                            <w:top w:val="none" w:sz="0" w:space="0" w:color="auto"/>
                                            <w:left w:val="none" w:sz="0" w:space="0" w:color="auto"/>
                                            <w:bottom w:val="none" w:sz="0" w:space="0" w:color="auto"/>
                                            <w:right w:val="none" w:sz="0" w:space="0" w:color="auto"/>
                                          </w:divBdr>
                                          <w:divsChild>
                                            <w:div w:id="1330330355">
                                              <w:marLeft w:val="0"/>
                                              <w:marRight w:val="0"/>
                                              <w:marTop w:val="0"/>
                                              <w:marBottom w:val="0"/>
                                              <w:divBdr>
                                                <w:top w:val="none" w:sz="0" w:space="0" w:color="auto"/>
                                                <w:left w:val="none" w:sz="0" w:space="0" w:color="auto"/>
                                                <w:bottom w:val="none" w:sz="0" w:space="0" w:color="auto"/>
                                                <w:right w:val="none" w:sz="0" w:space="0" w:color="auto"/>
                                              </w:divBdr>
                                              <w:divsChild>
                                                <w:div w:id="2073043866">
                                                  <w:marLeft w:val="0"/>
                                                  <w:marRight w:val="0"/>
                                                  <w:marTop w:val="0"/>
                                                  <w:marBottom w:val="240"/>
                                                  <w:divBdr>
                                                    <w:top w:val="none" w:sz="0" w:space="0" w:color="auto"/>
                                                    <w:left w:val="none" w:sz="0" w:space="0" w:color="auto"/>
                                                    <w:bottom w:val="none" w:sz="0" w:space="0" w:color="auto"/>
                                                    <w:right w:val="none" w:sz="0" w:space="0" w:color="auto"/>
                                                  </w:divBdr>
                                                  <w:divsChild>
                                                    <w:div w:id="1721243843">
                                                      <w:marLeft w:val="0"/>
                                                      <w:marRight w:val="0"/>
                                                      <w:marTop w:val="0"/>
                                                      <w:marBottom w:val="0"/>
                                                      <w:divBdr>
                                                        <w:top w:val="none" w:sz="0" w:space="0" w:color="auto"/>
                                                        <w:left w:val="none" w:sz="0" w:space="0" w:color="auto"/>
                                                        <w:bottom w:val="none" w:sz="0" w:space="0" w:color="auto"/>
                                                        <w:right w:val="none" w:sz="0" w:space="0" w:color="auto"/>
                                                      </w:divBdr>
                                                      <w:divsChild>
                                                        <w:div w:id="16306222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441723">
      <w:marLeft w:val="0"/>
      <w:marRight w:val="0"/>
      <w:marTop w:val="0"/>
      <w:marBottom w:val="0"/>
      <w:divBdr>
        <w:top w:val="none" w:sz="0" w:space="0" w:color="auto"/>
        <w:left w:val="none" w:sz="0" w:space="0" w:color="auto"/>
        <w:bottom w:val="none" w:sz="0" w:space="0" w:color="auto"/>
        <w:right w:val="none" w:sz="0" w:space="0" w:color="auto"/>
      </w:divBdr>
    </w:div>
    <w:div w:id="1821145079">
      <w:bodyDiv w:val="1"/>
      <w:marLeft w:val="0"/>
      <w:marRight w:val="0"/>
      <w:marTop w:val="0"/>
      <w:marBottom w:val="0"/>
      <w:divBdr>
        <w:top w:val="none" w:sz="0" w:space="0" w:color="auto"/>
        <w:left w:val="none" w:sz="0" w:space="0" w:color="auto"/>
        <w:bottom w:val="none" w:sz="0" w:space="0" w:color="auto"/>
        <w:right w:val="none" w:sz="0" w:space="0" w:color="auto"/>
      </w:divBdr>
    </w:div>
    <w:div w:id="1874343570">
      <w:marLeft w:val="0"/>
      <w:marRight w:val="0"/>
      <w:marTop w:val="0"/>
      <w:marBottom w:val="0"/>
      <w:divBdr>
        <w:top w:val="none" w:sz="0" w:space="0" w:color="auto"/>
        <w:left w:val="none" w:sz="0" w:space="0" w:color="auto"/>
        <w:bottom w:val="none" w:sz="0" w:space="0" w:color="auto"/>
        <w:right w:val="none" w:sz="0" w:space="0" w:color="auto"/>
      </w:divBdr>
    </w:div>
    <w:div w:id="190139827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 w:id="1935363410">
      <w:bodyDiv w:val="1"/>
      <w:marLeft w:val="0"/>
      <w:marRight w:val="0"/>
      <w:marTop w:val="0"/>
      <w:marBottom w:val="0"/>
      <w:divBdr>
        <w:top w:val="none" w:sz="0" w:space="0" w:color="auto"/>
        <w:left w:val="none" w:sz="0" w:space="0" w:color="auto"/>
        <w:bottom w:val="none" w:sz="0" w:space="0" w:color="auto"/>
        <w:right w:val="none" w:sz="0" w:space="0" w:color="auto"/>
      </w:divBdr>
    </w:div>
    <w:div w:id="1945187605">
      <w:marLeft w:val="0"/>
      <w:marRight w:val="0"/>
      <w:marTop w:val="0"/>
      <w:marBottom w:val="0"/>
      <w:divBdr>
        <w:top w:val="none" w:sz="0" w:space="0" w:color="auto"/>
        <w:left w:val="none" w:sz="0" w:space="0" w:color="auto"/>
        <w:bottom w:val="none" w:sz="0" w:space="0" w:color="auto"/>
        <w:right w:val="none" w:sz="0" w:space="0" w:color="auto"/>
      </w:divBdr>
    </w:div>
    <w:div w:id="1976329631">
      <w:bodyDiv w:val="1"/>
      <w:marLeft w:val="0"/>
      <w:marRight w:val="0"/>
      <w:marTop w:val="0"/>
      <w:marBottom w:val="0"/>
      <w:divBdr>
        <w:top w:val="none" w:sz="0" w:space="0" w:color="auto"/>
        <w:left w:val="none" w:sz="0" w:space="0" w:color="auto"/>
        <w:bottom w:val="none" w:sz="0" w:space="0" w:color="auto"/>
        <w:right w:val="none" w:sz="0" w:space="0" w:color="auto"/>
      </w:divBdr>
    </w:div>
    <w:div w:id="2008631946">
      <w:bodyDiv w:val="1"/>
      <w:marLeft w:val="0"/>
      <w:marRight w:val="0"/>
      <w:marTop w:val="0"/>
      <w:marBottom w:val="0"/>
      <w:divBdr>
        <w:top w:val="none" w:sz="0" w:space="0" w:color="auto"/>
        <w:left w:val="none" w:sz="0" w:space="0" w:color="auto"/>
        <w:bottom w:val="none" w:sz="0" w:space="0" w:color="auto"/>
        <w:right w:val="none" w:sz="0" w:space="0" w:color="auto"/>
      </w:divBdr>
      <w:divsChild>
        <w:div w:id="985670568">
          <w:marLeft w:val="0"/>
          <w:marRight w:val="0"/>
          <w:marTop w:val="0"/>
          <w:marBottom w:val="0"/>
          <w:divBdr>
            <w:top w:val="none" w:sz="0" w:space="0" w:color="auto"/>
            <w:left w:val="none" w:sz="0" w:space="0" w:color="auto"/>
            <w:bottom w:val="none" w:sz="0" w:space="0" w:color="auto"/>
            <w:right w:val="none" w:sz="0" w:space="0" w:color="auto"/>
          </w:divBdr>
          <w:divsChild>
            <w:div w:id="624432468">
              <w:marLeft w:val="0"/>
              <w:marRight w:val="0"/>
              <w:marTop w:val="0"/>
              <w:marBottom w:val="0"/>
              <w:divBdr>
                <w:top w:val="none" w:sz="0" w:space="0" w:color="auto"/>
                <w:left w:val="none" w:sz="0" w:space="0" w:color="auto"/>
                <w:bottom w:val="none" w:sz="0" w:space="0" w:color="auto"/>
                <w:right w:val="none" w:sz="0" w:space="0" w:color="auto"/>
              </w:divBdr>
              <w:divsChild>
                <w:div w:id="1374623083">
                  <w:marLeft w:val="0"/>
                  <w:marRight w:val="0"/>
                  <w:marTop w:val="0"/>
                  <w:marBottom w:val="0"/>
                  <w:divBdr>
                    <w:top w:val="none" w:sz="0" w:space="0" w:color="auto"/>
                    <w:left w:val="none" w:sz="0" w:space="0" w:color="auto"/>
                    <w:bottom w:val="none" w:sz="0" w:space="0" w:color="auto"/>
                    <w:right w:val="none" w:sz="0" w:space="0" w:color="auto"/>
                  </w:divBdr>
                  <w:divsChild>
                    <w:div w:id="1923296938">
                      <w:marLeft w:val="0"/>
                      <w:marRight w:val="0"/>
                      <w:marTop w:val="0"/>
                      <w:marBottom w:val="0"/>
                      <w:divBdr>
                        <w:top w:val="none" w:sz="0" w:space="0" w:color="auto"/>
                        <w:left w:val="single" w:sz="6" w:space="7" w:color="C4C4C4"/>
                        <w:bottom w:val="none" w:sz="0" w:space="0" w:color="auto"/>
                        <w:right w:val="single" w:sz="6" w:space="7" w:color="C4C4C4"/>
                      </w:divBdr>
                      <w:divsChild>
                        <w:div w:id="1894533818">
                          <w:marLeft w:val="0"/>
                          <w:marRight w:val="0"/>
                          <w:marTop w:val="0"/>
                          <w:marBottom w:val="0"/>
                          <w:divBdr>
                            <w:top w:val="none" w:sz="0" w:space="0" w:color="auto"/>
                            <w:left w:val="none" w:sz="0" w:space="0" w:color="auto"/>
                            <w:bottom w:val="none" w:sz="0" w:space="0" w:color="auto"/>
                            <w:right w:val="none" w:sz="0" w:space="0" w:color="auto"/>
                          </w:divBdr>
                          <w:divsChild>
                            <w:div w:id="1148283524">
                              <w:marLeft w:val="0"/>
                              <w:marRight w:val="0"/>
                              <w:marTop w:val="0"/>
                              <w:marBottom w:val="0"/>
                              <w:divBdr>
                                <w:top w:val="none" w:sz="0" w:space="0" w:color="auto"/>
                                <w:left w:val="none" w:sz="0" w:space="0" w:color="auto"/>
                                <w:bottom w:val="none" w:sz="0" w:space="0" w:color="auto"/>
                                <w:right w:val="none" w:sz="0" w:space="0" w:color="auto"/>
                              </w:divBdr>
                              <w:divsChild>
                                <w:div w:id="733283226">
                                  <w:marLeft w:val="0"/>
                                  <w:marRight w:val="0"/>
                                  <w:marTop w:val="0"/>
                                  <w:marBottom w:val="0"/>
                                  <w:divBdr>
                                    <w:top w:val="none" w:sz="0" w:space="0" w:color="auto"/>
                                    <w:left w:val="none" w:sz="0" w:space="0" w:color="auto"/>
                                    <w:bottom w:val="none" w:sz="0" w:space="0" w:color="auto"/>
                                    <w:right w:val="none" w:sz="0" w:space="0" w:color="auto"/>
                                  </w:divBdr>
                                  <w:divsChild>
                                    <w:div w:id="1554274371">
                                      <w:marLeft w:val="0"/>
                                      <w:marRight w:val="0"/>
                                      <w:marTop w:val="0"/>
                                      <w:marBottom w:val="0"/>
                                      <w:divBdr>
                                        <w:top w:val="none" w:sz="0" w:space="0" w:color="auto"/>
                                        <w:left w:val="none" w:sz="0" w:space="0" w:color="auto"/>
                                        <w:bottom w:val="none" w:sz="0" w:space="0" w:color="auto"/>
                                        <w:right w:val="none" w:sz="0" w:space="0" w:color="auto"/>
                                      </w:divBdr>
                                      <w:divsChild>
                                        <w:div w:id="1832865473">
                                          <w:marLeft w:val="0"/>
                                          <w:marRight w:val="0"/>
                                          <w:marTop w:val="0"/>
                                          <w:marBottom w:val="0"/>
                                          <w:divBdr>
                                            <w:top w:val="none" w:sz="0" w:space="0" w:color="auto"/>
                                            <w:left w:val="none" w:sz="0" w:space="0" w:color="auto"/>
                                            <w:bottom w:val="none" w:sz="0" w:space="0" w:color="auto"/>
                                            <w:right w:val="none" w:sz="0" w:space="0" w:color="auto"/>
                                          </w:divBdr>
                                          <w:divsChild>
                                            <w:div w:id="1305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67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0BF6-1542-44BF-B6E0-C936CCDC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2280</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15845</CharactersWithSpaces>
  <SharedDoc>false</SharedDoc>
  <HLinks>
    <vt:vector size="12" baseType="variant">
      <vt:variant>
        <vt:i4>4587646</vt:i4>
      </vt:variant>
      <vt:variant>
        <vt:i4>0</vt:i4>
      </vt:variant>
      <vt:variant>
        <vt:i4>0</vt:i4>
      </vt:variant>
      <vt:variant>
        <vt:i4>5</vt:i4>
      </vt:variant>
      <vt:variant>
        <vt:lpwstr>https://www.google.com/analytics/reporting/referring_sources?id=4821791&amp;pdr=20090903-20091003&amp;cmp=average</vt:lpwstr>
      </vt:variant>
      <vt:variant>
        <vt:lpwstr/>
      </vt:variant>
      <vt:variant>
        <vt:i4>6357032</vt:i4>
      </vt:variant>
      <vt:variant>
        <vt:i4>3</vt:i4>
      </vt:variant>
      <vt:variant>
        <vt:i4>0</vt:i4>
      </vt:variant>
      <vt:variant>
        <vt:i4>5</vt:i4>
      </vt:variant>
      <vt:variant>
        <vt:lpwstr>http://www.tra.gov.ae/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vladimir.bulatovic</dc:creator>
  <cp:keywords/>
  <dc:description/>
  <cp:lastModifiedBy>stephen.nelson</cp:lastModifiedBy>
  <cp:revision>9</cp:revision>
  <cp:lastPrinted>2010-07-20T05:38:00Z</cp:lastPrinted>
  <dcterms:created xsi:type="dcterms:W3CDTF">2010-12-07T09:01:00Z</dcterms:created>
  <dcterms:modified xsi:type="dcterms:W3CDTF">2011-01-20T07:05:00Z</dcterms:modified>
</cp:coreProperties>
</file>